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2059" w:rsidRDefault="008D270D">
      <w:pPr>
        <w:rPr>
          <w:rtl/>
        </w:rPr>
      </w:pPr>
      <w:r w:rsidRPr="008D270D">
        <w:rPr>
          <w:noProof/>
        </w:rPr>
        <w:drawing>
          <wp:inline distT="0" distB="0" distL="0" distR="0">
            <wp:extent cx="6238875" cy="8318500"/>
            <wp:effectExtent l="0" t="0" r="9525" b="6350"/>
            <wp:docPr id="1" name="Picture 1" descr="C:\Users\DELL\Downloads\download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Downloads\download (1)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9208" cy="8318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270D" w:rsidRPr="008D270D" w:rsidRDefault="008D270D" w:rsidP="008D270D">
      <w:pPr>
        <w:pStyle w:val="completed"/>
        <w:spacing w:line="276" w:lineRule="auto"/>
        <w:jc w:val="both"/>
      </w:pPr>
      <w:r w:rsidRPr="008D270D">
        <w:rPr>
          <w:b/>
          <w:bCs/>
        </w:rPr>
        <w:lastRenderedPageBreak/>
        <w:t xml:space="preserve">Figure </w:t>
      </w:r>
      <w:r w:rsidR="006E6DA5">
        <w:rPr>
          <w:b/>
          <w:bCs/>
        </w:rPr>
        <w:t>S</w:t>
      </w:r>
      <w:bookmarkStart w:id="0" w:name="_GoBack"/>
      <w:bookmarkEnd w:id="0"/>
      <w:r w:rsidRPr="008D270D">
        <w:rPr>
          <w:b/>
          <w:bCs/>
        </w:rPr>
        <w:t>1</w:t>
      </w:r>
      <w:r>
        <w:t xml:space="preserve"> The study map includes the treatments utilized in both the main </w:t>
      </w:r>
      <w:r w:rsidRPr="008D270D">
        <w:rPr>
          <w:rFonts w:asciiTheme="majorBidi" w:hAnsiTheme="majorBidi" w:cstheme="majorBidi"/>
        </w:rPr>
        <w:t xml:space="preserve">plots </w:t>
      </w:r>
      <w:r>
        <w:t xml:space="preserve">and </w:t>
      </w:r>
      <w:r w:rsidRPr="008D270D">
        <w:t>sub-plots</w:t>
      </w:r>
      <w:r>
        <w:t xml:space="preserve">. </w:t>
      </w:r>
      <w:r w:rsidRPr="008D270D">
        <w:rPr>
          <w:rFonts w:asciiTheme="majorBidi" w:hAnsiTheme="majorBidi" w:cstheme="majorBidi"/>
        </w:rPr>
        <w:t>Biological treatments were categorized into three levels: control (without SOB) (B</w:t>
      </w:r>
      <w:r w:rsidRPr="008D270D">
        <w:rPr>
          <w:rFonts w:asciiTheme="majorBidi" w:hAnsiTheme="majorBidi" w:cstheme="majorBidi"/>
          <w:vertAlign w:val="subscript"/>
        </w:rPr>
        <w:t>1</w:t>
      </w:r>
      <w:r w:rsidRPr="008D270D">
        <w:rPr>
          <w:rFonts w:asciiTheme="majorBidi" w:hAnsiTheme="majorBidi" w:cstheme="majorBidi"/>
        </w:rPr>
        <w:t xml:space="preserve">), a microbial consortium featuring </w:t>
      </w:r>
      <w:r w:rsidRPr="008D270D">
        <w:rPr>
          <w:rFonts w:asciiTheme="majorBidi" w:hAnsiTheme="majorBidi" w:cstheme="majorBidi"/>
          <w:i/>
          <w:iCs/>
        </w:rPr>
        <w:t>Thiobacillus</w:t>
      </w:r>
      <w:r w:rsidRPr="008D270D">
        <w:rPr>
          <w:rFonts w:asciiTheme="majorBidi" w:hAnsiTheme="majorBidi" w:cstheme="majorBidi"/>
        </w:rPr>
        <w:t xml:space="preserve"> sp., </w:t>
      </w:r>
      <w:r w:rsidRPr="008D270D">
        <w:rPr>
          <w:rFonts w:asciiTheme="majorBidi" w:hAnsiTheme="majorBidi" w:cstheme="majorBidi"/>
          <w:i/>
          <w:iCs/>
        </w:rPr>
        <w:t>Bacillus subtilis</w:t>
      </w:r>
      <w:r w:rsidRPr="008D270D">
        <w:rPr>
          <w:rFonts w:asciiTheme="majorBidi" w:hAnsiTheme="majorBidi" w:cstheme="majorBidi"/>
        </w:rPr>
        <w:t xml:space="preserve">, </w:t>
      </w:r>
      <w:r w:rsidRPr="008D270D">
        <w:rPr>
          <w:rFonts w:asciiTheme="majorBidi" w:hAnsiTheme="majorBidi" w:cstheme="majorBidi"/>
          <w:i/>
          <w:iCs/>
        </w:rPr>
        <w:t>Paraburkholderia fungorum</w:t>
      </w:r>
      <w:r w:rsidRPr="008D270D">
        <w:rPr>
          <w:rFonts w:asciiTheme="majorBidi" w:hAnsiTheme="majorBidi" w:cstheme="majorBidi"/>
        </w:rPr>
        <w:t xml:space="preserve">, and </w:t>
      </w:r>
      <w:r w:rsidRPr="008D270D">
        <w:rPr>
          <w:rFonts w:asciiTheme="majorBidi" w:hAnsiTheme="majorBidi" w:cstheme="majorBidi"/>
          <w:i/>
          <w:iCs/>
        </w:rPr>
        <w:t>Paenibacillus</w:t>
      </w:r>
      <w:r w:rsidRPr="008D270D">
        <w:rPr>
          <w:rFonts w:asciiTheme="majorBidi" w:hAnsiTheme="majorBidi" w:cstheme="majorBidi"/>
        </w:rPr>
        <w:t xml:space="preserve"> sp. (B</w:t>
      </w:r>
      <w:r w:rsidRPr="008D270D">
        <w:rPr>
          <w:rFonts w:asciiTheme="majorBidi" w:hAnsiTheme="majorBidi" w:cstheme="majorBidi"/>
          <w:vertAlign w:val="subscript"/>
        </w:rPr>
        <w:t>2</w:t>
      </w:r>
      <w:r w:rsidRPr="008D270D">
        <w:rPr>
          <w:rFonts w:asciiTheme="majorBidi" w:hAnsiTheme="majorBidi" w:cstheme="majorBidi"/>
        </w:rPr>
        <w:t xml:space="preserve">), and another microbial consortium comprising </w:t>
      </w:r>
      <w:r w:rsidRPr="008D270D">
        <w:rPr>
          <w:rFonts w:asciiTheme="majorBidi" w:hAnsiTheme="majorBidi" w:cstheme="majorBidi"/>
          <w:i/>
          <w:iCs/>
        </w:rPr>
        <w:t>Enterobacter</w:t>
      </w:r>
      <w:r w:rsidRPr="008D270D">
        <w:rPr>
          <w:rFonts w:asciiTheme="majorBidi" w:hAnsiTheme="majorBidi" w:cstheme="majorBidi"/>
        </w:rPr>
        <w:t xml:space="preserve"> sp. and </w:t>
      </w:r>
      <w:r w:rsidRPr="008D270D">
        <w:rPr>
          <w:rFonts w:asciiTheme="majorBidi" w:hAnsiTheme="majorBidi" w:cstheme="majorBidi"/>
          <w:i/>
          <w:iCs/>
        </w:rPr>
        <w:t>Pseudomonas</w:t>
      </w:r>
      <w:r w:rsidRPr="008D270D">
        <w:rPr>
          <w:rFonts w:asciiTheme="majorBidi" w:hAnsiTheme="majorBidi" w:cstheme="majorBidi"/>
        </w:rPr>
        <w:t xml:space="preserve"> sp. (B</w:t>
      </w:r>
      <w:r w:rsidRPr="008D270D">
        <w:rPr>
          <w:rFonts w:asciiTheme="majorBidi" w:hAnsiTheme="majorBidi" w:cstheme="majorBidi"/>
          <w:vertAlign w:val="subscript"/>
        </w:rPr>
        <w:t>3</w:t>
      </w:r>
      <w:r w:rsidRPr="008D270D">
        <w:rPr>
          <w:rFonts w:asciiTheme="majorBidi" w:hAnsiTheme="majorBidi" w:cstheme="majorBidi"/>
        </w:rPr>
        <w:t>) in the main plots. Sulfur was applied at four different levels, organized as sub-plots: control (no sulfur application) (F</w:t>
      </w:r>
      <w:r w:rsidRPr="008D270D">
        <w:rPr>
          <w:rFonts w:asciiTheme="majorBidi" w:hAnsiTheme="majorBidi" w:cstheme="majorBidi"/>
          <w:vertAlign w:val="subscript"/>
        </w:rPr>
        <w:t>1</w:t>
      </w:r>
      <w:r w:rsidRPr="008D270D">
        <w:rPr>
          <w:rFonts w:asciiTheme="majorBidi" w:hAnsiTheme="majorBidi" w:cstheme="majorBidi"/>
        </w:rPr>
        <w:t>), 175 kg ha⁻¹ of sulfur (F</w:t>
      </w:r>
      <w:r w:rsidRPr="008D270D">
        <w:rPr>
          <w:rFonts w:asciiTheme="majorBidi" w:hAnsiTheme="majorBidi" w:cstheme="majorBidi"/>
          <w:vertAlign w:val="subscript"/>
        </w:rPr>
        <w:t>2</w:t>
      </w:r>
      <w:r w:rsidRPr="008D270D">
        <w:rPr>
          <w:rFonts w:asciiTheme="majorBidi" w:hAnsiTheme="majorBidi" w:cstheme="majorBidi"/>
        </w:rPr>
        <w:t>), 225 kg ha⁻¹ of sulfur  (F</w:t>
      </w:r>
      <w:r w:rsidRPr="008D270D">
        <w:rPr>
          <w:rFonts w:asciiTheme="majorBidi" w:hAnsiTheme="majorBidi" w:cstheme="majorBidi"/>
          <w:vertAlign w:val="subscript"/>
        </w:rPr>
        <w:t>3</w:t>
      </w:r>
      <w:r w:rsidRPr="008D270D">
        <w:rPr>
          <w:rFonts w:asciiTheme="majorBidi" w:hAnsiTheme="majorBidi" w:cstheme="majorBidi"/>
        </w:rPr>
        <w:t>), and 250 kg ha⁻¹ of sulfur (F</w:t>
      </w:r>
      <w:r w:rsidRPr="008D270D">
        <w:rPr>
          <w:rFonts w:asciiTheme="majorBidi" w:hAnsiTheme="majorBidi" w:cstheme="majorBidi"/>
          <w:vertAlign w:val="subscript"/>
        </w:rPr>
        <w:t>4</w:t>
      </w:r>
      <w:r w:rsidRPr="008D270D">
        <w:rPr>
          <w:rFonts w:asciiTheme="majorBidi" w:hAnsiTheme="majorBidi" w:cstheme="majorBidi"/>
        </w:rPr>
        <w:t>).</w:t>
      </w:r>
    </w:p>
    <w:p w:rsidR="008D270D" w:rsidRDefault="008D270D" w:rsidP="008D270D">
      <w:pPr>
        <w:pStyle w:val="completed"/>
        <w:jc w:val="both"/>
      </w:pPr>
    </w:p>
    <w:p w:rsidR="008D270D" w:rsidRDefault="008D270D"/>
    <w:sectPr w:rsidR="008D27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B7D"/>
    <w:rsid w:val="00190B7D"/>
    <w:rsid w:val="00622059"/>
    <w:rsid w:val="006E6DA5"/>
    <w:rsid w:val="008D2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77A305-9BE9-4B56-B5D1-2EB11DD56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B Nazani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mpleted">
    <w:name w:val="completed"/>
    <w:basedOn w:val="Normal"/>
    <w:rsid w:val="008D270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689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91</Words>
  <Characters>520</Characters>
  <Application>Microsoft Office Word</Application>
  <DocSecurity>0</DocSecurity>
  <Lines>4</Lines>
  <Paragraphs>1</Paragraphs>
  <ScaleCrop>false</ScaleCrop>
  <Company/>
  <LinksUpToDate>false</LinksUpToDate>
  <CharactersWithSpaces>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</cp:lastModifiedBy>
  <cp:revision>3</cp:revision>
  <dcterms:created xsi:type="dcterms:W3CDTF">2024-11-21T10:09:00Z</dcterms:created>
  <dcterms:modified xsi:type="dcterms:W3CDTF">2024-12-20T14:48:00Z</dcterms:modified>
</cp:coreProperties>
</file>