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A73BF" w:rsidRDefault="00972DB6" w:rsidP="00972DB6">
      <w:pPr>
        <w:spacing w:line="360" w:lineRule="auto"/>
        <w:contextualSpacing/>
        <w:jc w:val="both"/>
        <w:rPr>
          <w:rFonts w:ascii="Arial" w:hAnsi="Arial" w:cs="Arial"/>
          <w:b/>
          <w:sz w:val="24"/>
          <w:szCs w:val="24"/>
        </w:rPr>
      </w:pPr>
      <w:r w:rsidRPr="00972DB6">
        <w:rPr>
          <w:rFonts w:ascii="Arial" w:hAnsi="Arial" w:cs="Arial"/>
          <w:b/>
          <w:sz w:val="24"/>
          <w:szCs w:val="24"/>
        </w:rPr>
        <w:t xml:space="preserve">Crucial interactions of functional </w:t>
      </w:r>
      <w:proofErr w:type="spellStart"/>
      <w:r w:rsidRPr="00972DB6">
        <w:rPr>
          <w:rFonts w:ascii="Arial" w:hAnsi="Arial" w:cs="Arial"/>
          <w:b/>
          <w:sz w:val="24"/>
          <w:szCs w:val="24"/>
        </w:rPr>
        <w:t>pyrenes</w:t>
      </w:r>
      <w:proofErr w:type="spellEnd"/>
      <w:r w:rsidRPr="00972DB6">
        <w:rPr>
          <w:rFonts w:ascii="Arial" w:hAnsi="Arial" w:cs="Arial"/>
          <w:b/>
          <w:sz w:val="24"/>
          <w:szCs w:val="24"/>
        </w:rPr>
        <w:t xml:space="preserve"> with graphite in electrodes for lithium-ion batteries</w:t>
      </w:r>
      <w:r>
        <w:rPr>
          <w:rFonts w:ascii="Arial" w:hAnsi="Arial" w:cs="Arial"/>
          <w:b/>
          <w:sz w:val="24"/>
          <w:szCs w:val="24"/>
        </w:rPr>
        <w:t xml:space="preserve"> – Supporting information</w:t>
      </w:r>
    </w:p>
    <w:p w:rsidR="005F08CB" w:rsidRDefault="005F08CB" w:rsidP="00972DB6">
      <w:pPr>
        <w:spacing w:line="360" w:lineRule="auto"/>
        <w:contextualSpacing/>
        <w:jc w:val="both"/>
        <w:rPr>
          <w:rFonts w:ascii="Arial" w:hAnsi="Arial" w:cs="Arial"/>
          <w:b/>
          <w:sz w:val="24"/>
          <w:szCs w:val="24"/>
        </w:rPr>
      </w:pPr>
    </w:p>
    <w:p w:rsidR="00972DB6" w:rsidRDefault="00972DB6" w:rsidP="00972DB6">
      <w:pPr>
        <w:spacing w:line="360" w:lineRule="auto"/>
        <w:contextualSpacing/>
        <w:jc w:val="both"/>
        <w:rPr>
          <w:rFonts w:ascii="Arial" w:hAnsi="Arial" w:cs="Arial"/>
          <w:b/>
          <w:sz w:val="24"/>
          <w:szCs w:val="24"/>
        </w:rPr>
      </w:pPr>
    </w:p>
    <w:p w:rsidR="00972DB6" w:rsidRDefault="005F08CB" w:rsidP="00972DB6">
      <w:pPr>
        <w:keepNext/>
        <w:spacing w:line="360" w:lineRule="auto"/>
        <w:contextualSpacing/>
        <w:jc w:val="center"/>
      </w:pPr>
      <w:r>
        <w:rPr>
          <w:noProof/>
          <w:lang w:eastAsia="zh-CN"/>
        </w:rPr>
        <w:drawing>
          <wp:inline distT="0" distB="0" distL="0" distR="0">
            <wp:extent cx="2948940" cy="2919984"/>
            <wp:effectExtent l="0" t="0" r="381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gure S1.emf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48940" cy="29199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72DB6" w:rsidRPr="00253BB8" w:rsidRDefault="00972DB6" w:rsidP="005F08CB">
      <w:pPr>
        <w:pStyle w:val="Beschriftung"/>
        <w:jc w:val="both"/>
        <w:rPr>
          <w:rFonts w:ascii="Arial" w:hAnsi="Arial" w:cs="Arial"/>
          <w:i w:val="0"/>
          <w:color w:val="auto"/>
          <w:sz w:val="22"/>
          <w:szCs w:val="22"/>
        </w:rPr>
      </w:pPr>
      <w:r w:rsidRPr="00253BB8">
        <w:rPr>
          <w:rFonts w:ascii="Arial" w:hAnsi="Arial" w:cs="Arial"/>
          <w:i w:val="0"/>
          <w:color w:val="auto"/>
          <w:sz w:val="22"/>
          <w:szCs w:val="22"/>
        </w:rPr>
        <w:t xml:space="preserve">Figure S </w:t>
      </w:r>
      <w:r w:rsidRPr="00253BB8">
        <w:rPr>
          <w:rFonts w:ascii="Arial" w:hAnsi="Arial" w:cs="Arial"/>
          <w:i w:val="0"/>
          <w:color w:val="auto"/>
          <w:sz w:val="22"/>
          <w:szCs w:val="22"/>
        </w:rPr>
        <w:fldChar w:fldCharType="begin"/>
      </w:r>
      <w:r w:rsidRPr="00253BB8">
        <w:rPr>
          <w:rFonts w:ascii="Arial" w:hAnsi="Arial" w:cs="Arial"/>
          <w:i w:val="0"/>
          <w:color w:val="auto"/>
          <w:sz w:val="22"/>
          <w:szCs w:val="22"/>
        </w:rPr>
        <w:instrText xml:space="preserve"> SEQ Figure_S \* ARABIC </w:instrText>
      </w:r>
      <w:r w:rsidRPr="00253BB8">
        <w:rPr>
          <w:rFonts w:ascii="Arial" w:hAnsi="Arial" w:cs="Arial"/>
          <w:i w:val="0"/>
          <w:color w:val="auto"/>
          <w:sz w:val="22"/>
          <w:szCs w:val="22"/>
        </w:rPr>
        <w:fldChar w:fldCharType="separate"/>
      </w:r>
      <w:r w:rsidR="005F08CB" w:rsidRPr="00253BB8">
        <w:rPr>
          <w:rFonts w:ascii="Arial" w:hAnsi="Arial" w:cs="Arial"/>
          <w:i w:val="0"/>
          <w:noProof/>
          <w:color w:val="auto"/>
          <w:sz w:val="22"/>
          <w:szCs w:val="22"/>
        </w:rPr>
        <w:t>1</w:t>
      </w:r>
      <w:r w:rsidRPr="00253BB8">
        <w:rPr>
          <w:rFonts w:ascii="Arial" w:hAnsi="Arial" w:cs="Arial"/>
          <w:i w:val="0"/>
          <w:color w:val="auto"/>
          <w:sz w:val="22"/>
          <w:szCs w:val="22"/>
        </w:rPr>
        <w:fldChar w:fldCharType="end"/>
      </w:r>
      <w:r w:rsidR="005F08CB" w:rsidRPr="00253BB8">
        <w:rPr>
          <w:rFonts w:ascii="Arial" w:hAnsi="Arial" w:cs="Arial"/>
          <w:i w:val="0"/>
          <w:color w:val="auto"/>
          <w:sz w:val="22"/>
          <w:szCs w:val="22"/>
        </w:rPr>
        <w:t>:</w:t>
      </w:r>
      <w:r w:rsidR="005F08CB" w:rsidRPr="00253BB8">
        <w:rPr>
          <w:rFonts w:ascii="Arial" w:hAnsi="Arial" w:cs="Arial"/>
          <w:i w:val="0"/>
          <w:color w:val="auto"/>
          <w:sz w:val="22"/>
          <w:szCs w:val="22"/>
        </w:rPr>
        <w:tab/>
      </w:r>
      <w:proofErr w:type="spellStart"/>
      <w:r w:rsidR="005F08CB" w:rsidRPr="00253BB8">
        <w:rPr>
          <w:rFonts w:ascii="Arial" w:hAnsi="Arial" w:cs="Arial"/>
          <w:i w:val="0"/>
          <w:color w:val="auto"/>
          <w:sz w:val="22"/>
          <w:szCs w:val="22"/>
        </w:rPr>
        <w:t>Nyquist</w:t>
      </w:r>
      <w:proofErr w:type="spellEnd"/>
      <w:r w:rsidR="005F08CB" w:rsidRPr="00253BB8">
        <w:rPr>
          <w:rFonts w:ascii="Arial" w:hAnsi="Arial" w:cs="Arial"/>
          <w:i w:val="0"/>
          <w:color w:val="auto"/>
          <w:sz w:val="22"/>
          <w:szCs w:val="22"/>
        </w:rPr>
        <w:t xml:space="preserve"> plot of pristine, carboxy and </w:t>
      </w:r>
      <w:proofErr w:type="spellStart"/>
      <w:r w:rsidR="005F08CB" w:rsidRPr="00253BB8">
        <w:rPr>
          <w:rFonts w:ascii="Arial" w:hAnsi="Arial" w:cs="Arial"/>
          <w:i w:val="0"/>
          <w:color w:val="auto"/>
          <w:sz w:val="22"/>
          <w:szCs w:val="22"/>
        </w:rPr>
        <w:t>butylcarboxy</w:t>
      </w:r>
      <w:proofErr w:type="spellEnd"/>
      <w:r w:rsidR="005F08CB" w:rsidRPr="00253BB8">
        <w:rPr>
          <w:rFonts w:ascii="Arial" w:hAnsi="Arial" w:cs="Arial"/>
          <w:i w:val="0"/>
          <w:color w:val="auto"/>
          <w:sz w:val="22"/>
          <w:szCs w:val="22"/>
        </w:rPr>
        <w:t xml:space="preserve"> samples of symmetrical cells at 0.01 V vs. Li</w:t>
      </w:r>
      <w:r w:rsidR="005F08CB" w:rsidRPr="00253BB8">
        <w:rPr>
          <w:rFonts w:ascii="Arial" w:hAnsi="Arial" w:cs="Arial"/>
          <w:i w:val="0"/>
          <w:color w:val="auto"/>
          <w:sz w:val="22"/>
          <w:szCs w:val="22"/>
          <w:vertAlign w:val="superscript"/>
        </w:rPr>
        <w:t>+</w:t>
      </w:r>
      <w:r w:rsidR="005F08CB" w:rsidRPr="00253BB8">
        <w:rPr>
          <w:rFonts w:ascii="Arial" w:hAnsi="Arial" w:cs="Arial"/>
          <w:i w:val="0"/>
          <w:color w:val="auto"/>
          <w:sz w:val="22"/>
          <w:szCs w:val="22"/>
        </w:rPr>
        <w:t>/Li.</w:t>
      </w:r>
    </w:p>
    <w:p w:rsidR="005F08CB" w:rsidRDefault="005F08CB" w:rsidP="005F08CB"/>
    <w:p w:rsidR="005F08CB" w:rsidRPr="00253BB8" w:rsidRDefault="005F08CB" w:rsidP="005F08CB">
      <w:pPr>
        <w:keepNext/>
      </w:pPr>
      <w:r w:rsidRPr="00253BB8">
        <w:rPr>
          <w:noProof/>
          <w:lang w:eastAsia="zh-CN"/>
        </w:rPr>
        <w:lastRenderedPageBreak/>
        <w:drawing>
          <wp:inline distT="0" distB="0" distL="0" distR="0">
            <wp:extent cx="5760720" cy="5236210"/>
            <wp:effectExtent l="0" t="0" r="0" b="254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Figure S2.emf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236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53BB8" w:rsidRPr="00253BB8" w:rsidRDefault="005F08CB" w:rsidP="00253BB8">
      <w:pPr>
        <w:pStyle w:val="Beschriftung"/>
        <w:jc w:val="both"/>
        <w:rPr>
          <w:rFonts w:ascii="Arial" w:hAnsi="Arial" w:cs="Arial"/>
          <w:i w:val="0"/>
          <w:color w:val="auto"/>
          <w:sz w:val="22"/>
          <w:szCs w:val="22"/>
        </w:rPr>
      </w:pPr>
      <w:r w:rsidRPr="00253BB8">
        <w:rPr>
          <w:rFonts w:ascii="Arial" w:hAnsi="Arial" w:cs="Arial"/>
          <w:i w:val="0"/>
          <w:color w:val="auto"/>
          <w:sz w:val="22"/>
          <w:szCs w:val="22"/>
        </w:rPr>
        <w:t xml:space="preserve">Figure S </w:t>
      </w:r>
      <w:r w:rsidRPr="00253BB8">
        <w:rPr>
          <w:rFonts w:ascii="Arial" w:hAnsi="Arial" w:cs="Arial"/>
          <w:i w:val="0"/>
          <w:color w:val="auto"/>
          <w:sz w:val="22"/>
          <w:szCs w:val="22"/>
        </w:rPr>
        <w:fldChar w:fldCharType="begin"/>
      </w:r>
      <w:r w:rsidRPr="00253BB8">
        <w:rPr>
          <w:rFonts w:ascii="Arial" w:hAnsi="Arial" w:cs="Arial"/>
          <w:i w:val="0"/>
          <w:color w:val="auto"/>
          <w:sz w:val="22"/>
          <w:szCs w:val="22"/>
        </w:rPr>
        <w:instrText xml:space="preserve"> SEQ Figure_S \* ARABIC </w:instrText>
      </w:r>
      <w:r w:rsidRPr="00253BB8">
        <w:rPr>
          <w:rFonts w:ascii="Arial" w:hAnsi="Arial" w:cs="Arial"/>
          <w:i w:val="0"/>
          <w:color w:val="auto"/>
          <w:sz w:val="22"/>
          <w:szCs w:val="22"/>
        </w:rPr>
        <w:fldChar w:fldCharType="separate"/>
      </w:r>
      <w:r w:rsidRPr="00253BB8">
        <w:rPr>
          <w:rFonts w:ascii="Arial" w:hAnsi="Arial" w:cs="Arial"/>
          <w:i w:val="0"/>
          <w:noProof/>
          <w:color w:val="auto"/>
          <w:sz w:val="22"/>
          <w:szCs w:val="22"/>
        </w:rPr>
        <w:t>2</w:t>
      </w:r>
      <w:r w:rsidRPr="00253BB8">
        <w:rPr>
          <w:rFonts w:ascii="Arial" w:hAnsi="Arial" w:cs="Arial"/>
          <w:i w:val="0"/>
          <w:color w:val="auto"/>
          <w:sz w:val="22"/>
          <w:szCs w:val="22"/>
        </w:rPr>
        <w:fldChar w:fldCharType="end"/>
      </w:r>
      <w:r w:rsidRPr="00253BB8">
        <w:rPr>
          <w:rFonts w:ascii="Arial" w:hAnsi="Arial" w:cs="Arial"/>
          <w:i w:val="0"/>
          <w:color w:val="auto"/>
          <w:sz w:val="22"/>
          <w:szCs w:val="22"/>
        </w:rPr>
        <w:t>:</w:t>
      </w:r>
      <w:r w:rsidRPr="00253BB8">
        <w:rPr>
          <w:rFonts w:ascii="Arial" w:hAnsi="Arial" w:cs="Arial"/>
          <w:i w:val="0"/>
          <w:color w:val="auto"/>
          <w:sz w:val="22"/>
          <w:szCs w:val="22"/>
        </w:rPr>
        <w:tab/>
        <w:t xml:space="preserve">Fitting parameters (a) and modelled </w:t>
      </w:r>
      <w:proofErr w:type="spellStart"/>
      <w:r w:rsidRPr="00253BB8">
        <w:rPr>
          <w:rFonts w:ascii="Arial" w:hAnsi="Arial" w:cs="Arial"/>
          <w:i w:val="0"/>
          <w:color w:val="auto"/>
          <w:sz w:val="22"/>
          <w:szCs w:val="22"/>
        </w:rPr>
        <w:t>Nyquist</w:t>
      </w:r>
      <w:proofErr w:type="spellEnd"/>
      <w:r w:rsidRPr="00253BB8">
        <w:rPr>
          <w:rFonts w:ascii="Arial" w:hAnsi="Arial" w:cs="Arial"/>
          <w:i w:val="0"/>
          <w:color w:val="auto"/>
          <w:sz w:val="22"/>
          <w:szCs w:val="22"/>
        </w:rPr>
        <w:t xml:space="preserve"> plots of the pristine (b), carboxy (c) and </w:t>
      </w:r>
      <w:proofErr w:type="spellStart"/>
      <w:r w:rsidRPr="00253BB8">
        <w:rPr>
          <w:rFonts w:ascii="Arial" w:hAnsi="Arial" w:cs="Arial"/>
          <w:i w:val="0"/>
          <w:color w:val="auto"/>
          <w:sz w:val="22"/>
          <w:szCs w:val="22"/>
        </w:rPr>
        <w:t>butylcarboxy</w:t>
      </w:r>
      <w:proofErr w:type="spellEnd"/>
      <w:r w:rsidRPr="00253BB8">
        <w:rPr>
          <w:rFonts w:ascii="Arial" w:hAnsi="Arial" w:cs="Arial"/>
          <w:i w:val="0"/>
          <w:color w:val="auto"/>
          <w:sz w:val="22"/>
          <w:szCs w:val="22"/>
        </w:rPr>
        <w:t xml:space="preserve"> </w:t>
      </w:r>
      <w:r w:rsidR="00253BB8">
        <w:rPr>
          <w:rFonts w:ascii="Arial" w:hAnsi="Arial" w:cs="Arial"/>
          <w:i w:val="0"/>
          <w:color w:val="auto"/>
          <w:sz w:val="22"/>
          <w:szCs w:val="22"/>
        </w:rPr>
        <w:t>(d) samples</w:t>
      </w:r>
      <w:bookmarkStart w:id="0" w:name="_GoBack"/>
      <w:bookmarkEnd w:id="0"/>
      <w:r w:rsidR="00253BB8" w:rsidRPr="00253BB8">
        <w:rPr>
          <w:rFonts w:ascii="Arial" w:hAnsi="Arial" w:cs="Arial"/>
          <w:i w:val="0"/>
          <w:color w:val="auto"/>
          <w:sz w:val="22"/>
          <w:szCs w:val="22"/>
        </w:rPr>
        <w:t xml:space="preserve"> of symmetrical cells at 0.01 V vs. Li</w:t>
      </w:r>
      <w:r w:rsidR="00253BB8" w:rsidRPr="00253BB8">
        <w:rPr>
          <w:rFonts w:ascii="Arial" w:hAnsi="Arial" w:cs="Arial"/>
          <w:i w:val="0"/>
          <w:color w:val="auto"/>
          <w:sz w:val="22"/>
          <w:szCs w:val="22"/>
          <w:vertAlign w:val="superscript"/>
        </w:rPr>
        <w:t>+</w:t>
      </w:r>
      <w:r w:rsidR="00253BB8" w:rsidRPr="00253BB8">
        <w:rPr>
          <w:rFonts w:ascii="Arial" w:hAnsi="Arial" w:cs="Arial"/>
          <w:i w:val="0"/>
          <w:color w:val="auto"/>
          <w:sz w:val="22"/>
          <w:szCs w:val="22"/>
        </w:rPr>
        <w:t>/Li.</w:t>
      </w:r>
    </w:p>
    <w:p w:rsidR="005F08CB" w:rsidRDefault="005F08CB" w:rsidP="005F08CB">
      <w:pPr>
        <w:pStyle w:val="Beschriftung"/>
      </w:pPr>
      <w:r>
        <w:t>.</w:t>
      </w:r>
    </w:p>
    <w:p w:rsidR="005F08CB" w:rsidRPr="005F08CB" w:rsidRDefault="005F08CB" w:rsidP="005F08CB"/>
    <w:sectPr w:rsidR="005F08CB" w:rsidRPr="005F08C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engXian">
    <w:altName w:val="等线"/>
    <w:panose1 w:val="02010600030101010101"/>
    <w:charset w:val="86"/>
    <w:family w:val="script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00000000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2DB6"/>
    <w:rsid w:val="00212846"/>
    <w:rsid w:val="00253BB8"/>
    <w:rsid w:val="002F14CA"/>
    <w:rsid w:val="0045323F"/>
    <w:rsid w:val="004B221C"/>
    <w:rsid w:val="005F08CB"/>
    <w:rsid w:val="006F509E"/>
    <w:rsid w:val="00737D53"/>
    <w:rsid w:val="0079187D"/>
    <w:rsid w:val="00972DB6"/>
    <w:rsid w:val="00C87B50"/>
    <w:rsid w:val="00DC3E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82B094"/>
  <w15:chartTrackingRefBased/>
  <w15:docId w15:val="{2D39A39D-6B7A-4449-A4FB-875B24C693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972DB6"/>
    <w:rPr>
      <w:rFonts w:eastAsiaTheme="minorHAnsi"/>
      <w:lang w:eastAsia="en-US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972DB6"/>
    <w:rPr>
      <w:color w:val="0563C1" w:themeColor="hyperlink"/>
      <w:u w:val="single"/>
    </w:rPr>
  </w:style>
  <w:style w:type="paragraph" w:styleId="Beschriftung">
    <w:name w:val="caption"/>
    <w:basedOn w:val="Standard"/>
    <w:next w:val="Standard"/>
    <w:uiPriority w:val="35"/>
    <w:unhideWhenUsed/>
    <w:qFormat/>
    <w:rsid w:val="00972DB6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69</Words>
  <Characters>398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Bauer, Marina (IAM)</dc:creator>
  <cp:keywords/>
  <dc:description/>
  <cp:lastModifiedBy>Bauer, Marina (IAM)</cp:lastModifiedBy>
  <cp:revision>2</cp:revision>
  <dcterms:created xsi:type="dcterms:W3CDTF">2022-11-23T18:33:00Z</dcterms:created>
  <dcterms:modified xsi:type="dcterms:W3CDTF">2022-11-23T19:00:00Z</dcterms:modified>
</cp:coreProperties>
</file>