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233B8A" w14:textId="77777777" w:rsidR="008A5010" w:rsidRPr="009835D3" w:rsidRDefault="008A5010" w:rsidP="008A5010">
      <w:pPr>
        <w:pStyle w:val="Title2"/>
        <w:spacing w:line="360" w:lineRule="auto"/>
        <w:rPr>
          <w:b w:val="0"/>
          <w:sz w:val="32"/>
          <w:szCs w:val="32"/>
        </w:rPr>
      </w:pPr>
      <w:r w:rsidRPr="009835D3">
        <w:rPr>
          <w:b w:val="0"/>
          <w:sz w:val="32"/>
          <w:szCs w:val="32"/>
        </w:rPr>
        <w:t xml:space="preserve">Supporting Information </w:t>
      </w:r>
    </w:p>
    <w:p w14:paraId="51AFEA3C" w14:textId="77777777" w:rsidR="008A5010" w:rsidRPr="009835D3" w:rsidRDefault="008A5010" w:rsidP="008A5010">
      <w:pPr>
        <w:pStyle w:val="Tableofcontents"/>
        <w:spacing w:line="360" w:lineRule="auto"/>
      </w:pPr>
    </w:p>
    <w:p w14:paraId="64B9D61D" w14:textId="77777777" w:rsidR="008A5010" w:rsidRPr="009835D3" w:rsidRDefault="008A5010" w:rsidP="008A5010">
      <w:pPr>
        <w:pStyle w:val="Tableofcontents"/>
        <w:rPr>
          <w:b/>
          <w:lang w:bidi="en-US"/>
        </w:rPr>
      </w:pPr>
      <w:r w:rsidRPr="009835D3">
        <w:rPr>
          <w:b/>
          <w:lang w:bidi="en-US"/>
        </w:rPr>
        <w:t xml:space="preserve">Animal-Free Setup of a Three-Dimensional Mature Adipocyte-Macrophage Co-Culture to Induce Inflammation </w:t>
      </w:r>
      <w:r w:rsidRPr="009835D3">
        <w:rPr>
          <w:b/>
          <w:i/>
          <w:iCs/>
          <w:lang w:bidi="en-US"/>
        </w:rPr>
        <w:t>in vitro</w:t>
      </w:r>
    </w:p>
    <w:p w14:paraId="4857F9F7" w14:textId="77777777" w:rsidR="008A5010" w:rsidRPr="009835D3" w:rsidRDefault="008A5010" w:rsidP="008A5010">
      <w:pPr>
        <w:pStyle w:val="Tableofcontents"/>
        <w:spacing w:line="360" w:lineRule="auto"/>
      </w:pPr>
    </w:p>
    <w:p w14:paraId="721D53FE" w14:textId="77777777" w:rsidR="008A5010" w:rsidRPr="009835D3" w:rsidRDefault="008A5010" w:rsidP="008A5010">
      <w:pPr>
        <w:pStyle w:val="AuthorsFull"/>
        <w:spacing w:line="360" w:lineRule="auto"/>
        <w:rPr>
          <w:bCs/>
          <w:lang w:val="de-DE"/>
        </w:rPr>
      </w:pPr>
      <w:r w:rsidRPr="009835D3">
        <w:rPr>
          <w:bCs/>
          <w:lang w:val="de-DE"/>
        </w:rPr>
        <w:t>Sophia Nowakowski, Svenja Nellinger, Franziska Brigitte Albrecht, and Petra Juliane Kluger*</w:t>
      </w:r>
    </w:p>
    <w:p w14:paraId="6A2C1A40" w14:textId="77777777" w:rsidR="008A5010" w:rsidRPr="009835D3" w:rsidRDefault="008A5010" w:rsidP="008A5010">
      <w:pPr>
        <w:pStyle w:val="Legend"/>
        <w:spacing w:line="360" w:lineRule="auto"/>
      </w:pPr>
      <w:r w:rsidRPr="009835D3">
        <w:rPr>
          <w:noProof/>
        </w:rPr>
        <w:lastRenderedPageBreak/>
        <w:drawing>
          <wp:inline distT="0" distB="0" distL="0" distR="0" wp14:anchorId="3CE06FFC" wp14:editId="0934E167">
            <wp:extent cx="5760720" cy="8786495"/>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5760720" cy="8786495"/>
                    </a:xfrm>
                    <a:prstGeom prst="rect">
                      <a:avLst/>
                    </a:prstGeom>
                    <a:noFill/>
                    <a:ln>
                      <a:noFill/>
                    </a:ln>
                  </pic:spPr>
                </pic:pic>
              </a:graphicData>
            </a:graphic>
          </wp:inline>
        </w:drawing>
      </w:r>
    </w:p>
    <w:p w14:paraId="38F80781" w14:textId="77777777" w:rsidR="008A5010" w:rsidRPr="009835D3" w:rsidRDefault="008A5010" w:rsidP="008A5010">
      <w:pPr>
        <w:pStyle w:val="Legend"/>
        <w:spacing w:line="360" w:lineRule="auto"/>
      </w:pPr>
      <w:r w:rsidRPr="009835D3">
        <w:rPr>
          <w:b/>
          <w:bCs/>
        </w:rPr>
        <w:lastRenderedPageBreak/>
        <w:t>Figure S1.</w:t>
      </w:r>
      <w:r w:rsidRPr="009835D3">
        <w:t xml:space="preserve"> Monocyte (MM6 and THP-1) activation in serum-containing and defined medium in monoculture over 7 days. A) Phase contrast images of MM6 and THP-1 activated by PMA or LPS in the serum-containing medium (serum +) and the defined medium (defined) on day 1, and B) phase contrast images of unstimulated MM6 and THP-1 or activated by PMA, LPS, or PMA+LPS on day 7. Scale bar 100 µm. C) Cell numbers of MM6 and THP-1 over 7 days in the respective medium. Cell numbers are displayed as x10</w:t>
      </w:r>
      <w:r w:rsidRPr="009835D3">
        <w:rPr>
          <w:vertAlign w:val="superscript"/>
        </w:rPr>
        <w:t>6</w:t>
      </w:r>
      <w:r w:rsidRPr="009835D3">
        <w:t xml:space="preserve"> cells. D) Viability [%] of unstimulated and stimulated MM6 or THP-1 over 7 days in the respective medium. Mean values represent the mean ± SD of three independent experiments with distinct cell batches.</w:t>
      </w:r>
    </w:p>
    <w:p w14:paraId="1E44BC2D" w14:textId="77777777" w:rsidR="008A5010" w:rsidRPr="009835D3" w:rsidRDefault="008A5010" w:rsidP="008A5010">
      <w:pPr>
        <w:rPr>
          <w:lang w:val="en-US"/>
        </w:rPr>
      </w:pPr>
    </w:p>
    <w:p w14:paraId="4DF3DBCB" w14:textId="77777777" w:rsidR="008A5010" w:rsidRPr="009835D3" w:rsidRDefault="008A5010" w:rsidP="008A5010">
      <w:pPr>
        <w:rPr>
          <w:lang w:val="en-US"/>
        </w:rPr>
      </w:pPr>
    </w:p>
    <w:p w14:paraId="1F43E599" w14:textId="77777777" w:rsidR="008A5010" w:rsidRPr="009835D3" w:rsidRDefault="008A5010" w:rsidP="008A5010">
      <w:pPr>
        <w:rPr>
          <w:lang w:val="en-US"/>
        </w:rPr>
      </w:pPr>
    </w:p>
    <w:p w14:paraId="0ACBD2D0" w14:textId="77777777" w:rsidR="008A5010" w:rsidRPr="009835D3" w:rsidRDefault="008A5010" w:rsidP="008A5010">
      <w:pPr>
        <w:rPr>
          <w:lang w:val="en-US"/>
        </w:rPr>
      </w:pPr>
    </w:p>
    <w:p w14:paraId="486319D4" w14:textId="77777777" w:rsidR="008A5010" w:rsidRPr="009835D3" w:rsidRDefault="008A5010" w:rsidP="008A5010">
      <w:pPr>
        <w:rPr>
          <w:lang w:val="en-US"/>
        </w:rPr>
      </w:pPr>
      <w:r w:rsidRPr="009835D3">
        <w:rPr>
          <w:noProof/>
        </w:rPr>
        <w:lastRenderedPageBreak/>
        <w:drawing>
          <wp:inline distT="0" distB="0" distL="0" distR="0" wp14:anchorId="4CB7F180" wp14:editId="47B8A779">
            <wp:extent cx="5272405" cy="8295640"/>
            <wp:effectExtent l="0" t="0" r="4445"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272405" cy="8295640"/>
                    </a:xfrm>
                    <a:prstGeom prst="rect">
                      <a:avLst/>
                    </a:prstGeom>
                    <a:noFill/>
                    <a:ln>
                      <a:noFill/>
                    </a:ln>
                  </pic:spPr>
                </pic:pic>
              </a:graphicData>
            </a:graphic>
          </wp:inline>
        </w:drawing>
      </w:r>
    </w:p>
    <w:p w14:paraId="1CE2B08F" w14:textId="77777777" w:rsidR="008A5010" w:rsidRPr="009835D3" w:rsidRDefault="008A5010" w:rsidP="008A5010">
      <w:pPr>
        <w:rPr>
          <w:lang w:val="en-US"/>
        </w:rPr>
      </w:pPr>
    </w:p>
    <w:p w14:paraId="3F9C2FEC" w14:textId="17DCB222" w:rsidR="008A5010" w:rsidRDefault="008A5010" w:rsidP="008A5010">
      <w:pPr>
        <w:spacing w:line="360" w:lineRule="auto"/>
        <w:rPr>
          <w:rFonts w:ascii="Times New Roman" w:hAnsi="Times New Roman" w:cs="Times New Roman"/>
          <w:sz w:val="24"/>
          <w:szCs w:val="24"/>
          <w:lang w:val="en-US" w:bidi="en-US"/>
        </w:rPr>
      </w:pPr>
      <w:r w:rsidRPr="00B4336F">
        <w:rPr>
          <w:rFonts w:ascii="Times New Roman" w:hAnsi="Times New Roman" w:cs="Times New Roman"/>
          <w:b/>
          <w:bCs/>
          <w:sz w:val="24"/>
          <w:szCs w:val="24"/>
          <w:lang w:val="en-US"/>
        </w:rPr>
        <w:lastRenderedPageBreak/>
        <w:t>Figure S2.</w:t>
      </w:r>
      <w:r w:rsidRPr="00B4336F">
        <w:rPr>
          <w:rFonts w:ascii="Times New Roman" w:hAnsi="Times New Roman" w:cs="Times New Roman"/>
          <w:sz w:val="24"/>
          <w:szCs w:val="24"/>
          <w:lang w:val="en-US"/>
        </w:rPr>
        <w:t xml:space="preserve"> </w:t>
      </w:r>
      <w:bookmarkStart w:id="0" w:name="OLE_LINK3"/>
      <w:r w:rsidRPr="00B4336F">
        <w:rPr>
          <w:rFonts w:ascii="Times New Roman" w:hAnsi="Times New Roman" w:cs="Times New Roman"/>
          <w:sz w:val="24"/>
          <w:szCs w:val="24"/>
          <w:lang w:val="en-US" w:bidi="en-US"/>
        </w:rPr>
        <w:t xml:space="preserve">Release of cytokines A) IL-1β, B) TNFα, C) IL-6, and D) IL-8 of unstimulated and PMA, LPS or PMA+LPS-activated MM6 and THP-1 in serum-containing and defined medium over 7 days. </w:t>
      </w:r>
      <w:bookmarkEnd w:id="0"/>
      <w:r w:rsidRPr="00B4336F">
        <w:rPr>
          <w:rFonts w:ascii="Times New Roman" w:hAnsi="Times New Roman" w:cs="Times New Roman"/>
          <w:sz w:val="24"/>
          <w:szCs w:val="24"/>
          <w:lang w:val="en-US" w:bidi="en-US"/>
        </w:rPr>
        <w:t>Mean values represent the mean ± SD in pg mL</w:t>
      </w:r>
      <w:r w:rsidRPr="00B4336F">
        <w:rPr>
          <w:rFonts w:ascii="Times New Roman" w:hAnsi="Times New Roman" w:cs="Times New Roman"/>
          <w:sz w:val="24"/>
          <w:szCs w:val="24"/>
          <w:vertAlign w:val="superscript"/>
          <w:lang w:val="en-US" w:bidi="en-US"/>
        </w:rPr>
        <w:t xml:space="preserve">-1 </w:t>
      </w:r>
      <w:r w:rsidRPr="00B4336F">
        <w:rPr>
          <w:rFonts w:ascii="Times New Roman" w:hAnsi="Times New Roman" w:cs="Times New Roman"/>
          <w:sz w:val="24"/>
          <w:szCs w:val="24"/>
          <w:lang w:val="en-US" w:bidi="en-US"/>
        </w:rPr>
        <w:t>of three independent experiments with distinct cell batches.</w:t>
      </w:r>
    </w:p>
    <w:p w14:paraId="08AA8664" w14:textId="77777777" w:rsidR="00B4336F" w:rsidRPr="00B4336F" w:rsidRDefault="00B4336F" w:rsidP="008A5010">
      <w:pPr>
        <w:spacing w:line="360" w:lineRule="auto"/>
        <w:rPr>
          <w:rFonts w:ascii="Times New Roman" w:hAnsi="Times New Roman" w:cs="Times New Roman"/>
          <w:sz w:val="24"/>
          <w:szCs w:val="24"/>
          <w:lang w:val="en-US"/>
        </w:rPr>
      </w:pPr>
    </w:p>
    <w:p w14:paraId="73810DF4" w14:textId="77777777" w:rsidR="008A5010" w:rsidRPr="009835D3" w:rsidRDefault="008A5010" w:rsidP="008A5010">
      <w:pPr>
        <w:pStyle w:val="Legend"/>
        <w:spacing w:line="360" w:lineRule="auto"/>
      </w:pPr>
      <w:r w:rsidRPr="009835D3">
        <w:rPr>
          <w:noProof/>
        </w:rPr>
        <w:drawing>
          <wp:inline distT="0" distB="0" distL="0" distR="0" wp14:anchorId="11FD9CFC" wp14:editId="497C22B9">
            <wp:extent cx="5760720" cy="2259965"/>
            <wp:effectExtent l="0" t="0" r="0" b="6985"/>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760720" cy="2259965"/>
                    </a:xfrm>
                    <a:prstGeom prst="rect">
                      <a:avLst/>
                    </a:prstGeom>
                    <a:noFill/>
                    <a:ln>
                      <a:noFill/>
                    </a:ln>
                  </pic:spPr>
                </pic:pic>
              </a:graphicData>
            </a:graphic>
          </wp:inline>
        </w:drawing>
      </w:r>
    </w:p>
    <w:p w14:paraId="39013D41" w14:textId="69F6024D" w:rsidR="008A5010" w:rsidRDefault="008A5010" w:rsidP="008A5010">
      <w:pPr>
        <w:pStyle w:val="Legend"/>
        <w:spacing w:line="360" w:lineRule="auto"/>
      </w:pPr>
      <w:r w:rsidRPr="009835D3">
        <w:rPr>
          <w:b/>
          <w:bCs/>
        </w:rPr>
        <w:t>Figure S3.</w:t>
      </w:r>
      <w:r w:rsidRPr="009835D3">
        <w:t xml:space="preserve"> Homogeneity of AC-GG mixtures, cross-linked hydrogels, and lipid vacuoles of AC-GG hydrogels with different GG concentrations directly after gel formation. Scale bars as indicated: 1 cm, 1 mm, and 40 µm. Data are representative of three independent experiments with three different biological donors.</w:t>
      </w:r>
    </w:p>
    <w:p w14:paraId="1DC3374A" w14:textId="72AD58ED" w:rsidR="00B4336F" w:rsidRDefault="00B4336F" w:rsidP="008A5010">
      <w:pPr>
        <w:pStyle w:val="Legend"/>
        <w:spacing w:line="360" w:lineRule="auto"/>
      </w:pPr>
    </w:p>
    <w:p w14:paraId="7F39769A" w14:textId="5A87F18C" w:rsidR="00B4336F" w:rsidRDefault="00B4336F" w:rsidP="008A5010">
      <w:pPr>
        <w:pStyle w:val="Legend"/>
        <w:spacing w:line="360" w:lineRule="auto"/>
      </w:pPr>
    </w:p>
    <w:p w14:paraId="2C4A6E96" w14:textId="3E814B75" w:rsidR="00B4336F" w:rsidRDefault="00B4336F" w:rsidP="008A5010">
      <w:pPr>
        <w:pStyle w:val="Legend"/>
        <w:spacing w:line="360" w:lineRule="auto"/>
      </w:pPr>
    </w:p>
    <w:p w14:paraId="01388E9D" w14:textId="71C3DEF8" w:rsidR="00B4336F" w:rsidRDefault="00B4336F" w:rsidP="008A5010">
      <w:pPr>
        <w:pStyle w:val="Legend"/>
        <w:spacing w:line="360" w:lineRule="auto"/>
      </w:pPr>
    </w:p>
    <w:p w14:paraId="024DCA4F" w14:textId="7D56DB3D" w:rsidR="00B4336F" w:rsidRDefault="00B4336F" w:rsidP="008A5010">
      <w:pPr>
        <w:pStyle w:val="Legend"/>
        <w:spacing w:line="360" w:lineRule="auto"/>
      </w:pPr>
    </w:p>
    <w:p w14:paraId="0825A941" w14:textId="27DAD0FF" w:rsidR="00B4336F" w:rsidRDefault="00B4336F" w:rsidP="008A5010">
      <w:pPr>
        <w:pStyle w:val="Legend"/>
        <w:spacing w:line="360" w:lineRule="auto"/>
      </w:pPr>
    </w:p>
    <w:p w14:paraId="10908AD3" w14:textId="142A7F5F" w:rsidR="00B4336F" w:rsidRDefault="00B4336F" w:rsidP="008A5010">
      <w:pPr>
        <w:pStyle w:val="Legend"/>
        <w:spacing w:line="360" w:lineRule="auto"/>
      </w:pPr>
    </w:p>
    <w:p w14:paraId="3D651443" w14:textId="77777777" w:rsidR="00B4336F" w:rsidRPr="009835D3" w:rsidRDefault="00B4336F" w:rsidP="008A5010">
      <w:pPr>
        <w:pStyle w:val="Legend"/>
        <w:spacing w:line="360" w:lineRule="auto"/>
      </w:pPr>
    </w:p>
    <w:p w14:paraId="7F97CAF0" w14:textId="77777777" w:rsidR="008A5010" w:rsidRPr="009835D3" w:rsidRDefault="008A5010" w:rsidP="008A5010">
      <w:pPr>
        <w:pStyle w:val="Legend"/>
        <w:spacing w:line="360" w:lineRule="auto"/>
      </w:pPr>
      <w:r w:rsidRPr="009835D3">
        <w:rPr>
          <w:noProof/>
        </w:rPr>
        <w:lastRenderedPageBreak/>
        <w:drawing>
          <wp:inline distT="0" distB="0" distL="0" distR="0" wp14:anchorId="3A4CEF5F" wp14:editId="3487D306">
            <wp:extent cx="3542030" cy="2718435"/>
            <wp:effectExtent l="0" t="0" r="1270" b="5715"/>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542030" cy="2718435"/>
                    </a:xfrm>
                    <a:prstGeom prst="rect">
                      <a:avLst/>
                    </a:prstGeom>
                    <a:noFill/>
                    <a:ln>
                      <a:noFill/>
                    </a:ln>
                  </pic:spPr>
                </pic:pic>
              </a:graphicData>
            </a:graphic>
          </wp:inline>
        </w:drawing>
      </w:r>
    </w:p>
    <w:p w14:paraId="7D5161B4" w14:textId="77777777" w:rsidR="008A5010" w:rsidRPr="009835D3" w:rsidRDefault="008A5010" w:rsidP="008A5010">
      <w:pPr>
        <w:pStyle w:val="Legend"/>
        <w:spacing w:line="360" w:lineRule="auto"/>
      </w:pPr>
      <w:r w:rsidRPr="009835D3">
        <w:rPr>
          <w:b/>
          <w:bCs/>
        </w:rPr>
        <w:t>Figure S4.</w:t>
      </w:r>
      <w:r w:rsidRPr="009835D3">
        <w:t xml:space="preserve"> Comparison of collagen and gellan gum for encapsulation of mature adipocytes in serum-containing and defined medium on day 7. Live/dead staining of AC-col and AC-GG hydrogels in serum-containing medium and in the defined medium, living cells in green, dead cells in red, and nuclei in blue, scale bar 100 µm. Visualization of intracellular lipids and lipid vacuoles of encapsulated ACs in col and GG hydrogels at day 7. Lipids stained with BODIPY, and lipid vacuoles stained for perilipin A, lipids in green, lipid vacuoles in yellow, nuclei in blue. Scale bar 100 µm. Data are representative of three independent experiments with three different biological donors.</w:t>
      </w:r>
    </w:p>
    <w:p w14:paraId="361E34CC" w14:textId="77777777" w:rsidR="008A5010" w:rsidRPr="009835D3" w:rsidRDefault="008A5010" w:rsidP="008A5010">
      <w:pPr>
        <w:spacing w:line="360" w:lineRule="auto"/>
        <w:rPr>
          <w:lang w:val="en-US"/>
        </w:rPr>
      </w:pPr>
    </w:p>
    <w:p w14:paraId="3FDC3A12" w14:textId="77777777" w:rsidR="008A5010" w:rsidRPr="009835D3" w:rsidRDefault="008A5010" w:rsidP="008A5010">
      <w:pPr>
        <w:spacing w:line="360" w:lineRule="auto"/>
        <w:rPr>
          <w:lang w:val="en-US"/>
        </w:rPr>
      </w:pPr>
      <w:r w:rsidRPr="009835D3">
        <w:rPr>
          <w:noProof/>
        </w:rPr>
        <w:drawing>
          <wp:inline distT="0" distB="0" distL="0" distR="0" wp14:anchorId="59B759E8" wp14:editId="6A00F31E">
            <wp:extent cx="5760720" cy="2399030"/>
            <wp:effectExtent l="0" t="0" r="0" b="127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2399030"/>
                    </a:xfrm>
                    <a:prstGeom prst="rect">
                      <a:avLst/>
                    </a:prstGeom>
                    <a:noFill/>
                    <a:ln>
                      <a:noFill/>
                    </a:ln>
                  </pic:spPr>
                </pic:pic>
              </a:graphicData>
            </a:graphic>
          </wp:inline>
        </w:drawing>
      </w:r>
    </w:p>
    <w:p w14:paraId="362C6A14" w14:textId="10F25B1C" w:rsidR="008A5010" w:rsidRPr="00B4336F" w:rsidRDefault="008A5010" w:rsidP="00B4336F">
      <w:pPr>
        <w:spacing w:line="360" w:lineRule="auto"/>
        <w:rPr>
          <w:rFonts w:ascii="Times New Roman" w:hAnsi="Times New Roman" w:cs="Times New Roman"/>
          <w:sz w:val="24"/>
          <w:szCs w:val="24"/>
          <w:lang w:val="en-US"/>
        </w:rPr>
      </w:pPr>
      <w:r w:rsidRPr="00B4336F">
        <w:rPr>
          <w:rFonts w:ascii="Times New Roman" w:hAnsi="Times New Roman" w:cs="Times New Roman"/>
          <w:b/>
          <w:bCs/>
          <w:sz w:val="24"/>
          <w:szCs w:val="24"/>
          <w:lang w:val="en-US"/>
        </w:rPr>
        <w:t>Figure S5.</w:t>
      </w:r>
      <w:r w:rsidRPr="00B4336F">
        <w:rPr>
          <w:rFonts w:ascii="Times New Roman" w:hAnsi="Times New Roman" w:cs="Times New Roman"/>
          <w:sz w:val="24"/>
          <w:szCs w:val="24"/>
          <w:lang w:val="en-US"/>
        </w:rPr>
        <w:t xml:space="preserve"> </w:t>
      </w:r>
      <w:r w:rsidRPr="00B4336F">
        <w:rPr>
          <w:rFonts w:ascii="Times New Roman" w:hAnsi="Times New Roman" w:cs="Times New Roman"/>
          <w:sz w:val="24"/>
          <w:szCs w:val="24"/>
          <w:lang w:val="en-US" w:bidi="en-US"/>
        </w:rPr>
        <w:t xml:space="preserve">Release of cytokines IL-6 and IL-8 of unstimulated and PMA, LPS, or PMA+LPS-activated AC-GG gels in serum-containing and defined medium over 7 days. </w:t>
      </w:r>
      <w:bookmarkStart w:id="1" w:name="_Hlk197261500"/>
      <w:r w:rsidRPr="00B4336F">
        <w:rPr>
          <w:rFonts w:ascii="Times New Roman" w:hAnsi="Times New Roman" w:cs="Times New Roman"/>
          <w:sz w:val="24"/>
          <w:szCs w:val="24"/>
          <w:lang w:val="en-US" w:bidi="en-US"/>
        </w:rPr>
        <w:t>Mean values represent the mean ± SD in pg mL</w:t>
      </w:r>
      <w:r w:rsidRPr="00B4336F">
        <w:rPr>
          <w:rFonts w:ascii="Times New Roman" w:hAnsi="Times New Roman" w:cs="Times New Roman"/>
          <w:sz w:val="24"/>
          <w:szCs w:val="24"/>
          <w:vertAlign w:val="superscript"/>
          <w:lang w:val="en-US" w:bidi="en-US"/>
        </w:rPr>
        <w:t xml:space="preserve">-1 </w:t>
      </w:r>
      <w:r w:rsidRPr="00B4336F">
        <w:rPr>
          <w:rFonts w:ascii="Times New Roman" w:hAnsi="Times New Roman" w:cs="Times New Roman"/>
          <w:sz w:val="24"/>
          <w:szCs w:val="24"/>
          <w:lang w:val="en-US" w:bidi="en-US"/>
        </w:rPr>
        <w:t>of three independent experiments with three different biological donors.</w:t>
      </w:r>
      <w:bookmarkEnd w:id="1"/>
    </w:p>
    <w:p w14:paraId="60EE5329" w14:textId="77777777" w:rsidR="008A5010" w:rsidRPr="009835D3" w:rsidRDefault="008A5010" w:rsidP="008A5010">
      <w:pPr>
        <w:spacing w:line="360" w:lineRule="auto"/>
        <w:rPr>
          <w:lang w:val="en-US"/>
        </w:rPr>
      </w:pPr>
      <w:r w:rsidRPr="009835D3">
        <w:rPr>
          <w:noProof/>
        </w:rPr>
        <w:lastRenderedPageBreak/>
        <w:drawing>
          <wp:inline distT="0" distB="0" distL="0" distR="0" wp14:anchorId="417BBDEF" wp14:editId="43325337">
            <wp:extent cx="5760720" cy="6043930"/>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6043930"/>
                    </a:xfrm>
                    <a:prstGeom prst="rect">
                      <a:avLst/>
                    </a:prstGeom>
                    <a:noFill/>
                    <a:ln>
                      <a:noFill/>
                    </a:ln>
                  </pic:spPr>
                </pic:pic>
              </a:graphicData>
            </a:graphic>
          </wp:inline>
        </w:drawing>
      </w:r>
    </w:p>
    <w:p w14:paraId="31F93A31" w14:textId="77777777" w:rsidR="008A5010" w:rsidRPr="00B4336F" w:rsidRDefault="008A5010" w:rsidP="008A5010">
      <w:pPr>
        <w:spacing w:line="360" w:lineRule="auto"/>
        <w:rPr>
          <w:rFonts w:ascii="Times New Roman" w:hAnsi="Times New Roman" w:cs="Times New Roman"/>
          <w:sz w:val="24"/>
          <w:szCs w:val="24"/>
          <w:lang w:val="en-US" w:bidi="en-US"/>
        </w:rPr>
      </w:pPr>
      <w:r w:rsidRPr="00B4336F">
        <w:rPr>
          <w:rFonts w:ascii="Times New Roman" w:hAnsi="Times New Roman" w:cs="Times New Roman"/>
          <w:b/>
          <w:bCs/>
          <w:sz w:val="24"/>
          <w:szCs w:val="24"/>
          <w:lang w:val="en-US"/>
        </w:rPr>
        <w:t>Figure S6.</w:t>
      </w:r>
      <w:r w:rsidRPr="00B4336F">
        <w:rPr>
          <w:rFonts w:ascii="Times New Roman" w:hAnsi="Times New Roman" w:cs="Times New Roman"/>
          <w:sz w:val="24"/>
          <w:szCs w:val="24"/>
          <w:lang w:val="en-US"/>
        </w:rPr>
        <w:t xml:space="preserve"> Viability, metabolic activity, and lipid content of the 3D adipocyte-macrophage co-culture after 3 days. A) </w:t>
      </w:r>
      <w:r w:rsidRPr="00B4336F">
        <w:rPr>
          <w:rFonts w:ascii="Times New Roman" w:hAnsi="Times New Roman" w:cs="Times New Roman"/>
          <w:sz w:val="24"/>
          <w:szCs w:val="24"/>
          <w:lang w:val="en-US" w:bidi="en-US"/>
        </w:rPr>
        <w:t>Phase contrast images and live/dead staining of PMA or LPS-stimulated monocytes in co-culture on day 3, viable cells in green, dead cells in red. Scale bar 100 µm. B) Live/dead, intracellular lipid (BODIPY) and vacuole (perilipin A) staining of PMA or LPS stimulated co-cultured AC-GG hydrogels, viable cells in green, dead cells in red, lipids in green, perilipin A in yellow, nuclei in blue. Scale bar 100 µm. C) Basal glycerol release of unstimulated and stimulated co-culture in ng mL</w:t>
      </w:r>
      <w:r w:rsidRPr="00B4336F">
        <w:rPr>
          <w:rFonts w:ascii="Times New Roman" w:hAnsi="Times New Roman" w:cs="Times New Roman"/>
          <w:sz w:val="24"/>
          <w:szCs w:val="24"/>
          <w:vertAlign w:val="superscript"/>
          <w:lang w:val="en-US" w:bidi="en-US"/>
        </w:rPr>
        <w:t>-1</w:t>
      </w:r>
      <w:r w:rsidRPr="00B4336F">
        <w:rPr>
          <w:rFonts w:ascii="Times New Roman" w:hAnsi="Times New Roman" w:cs="Times New Roman"/>
          <w:sz w:val="24"/>
          <w:szCs w:val="24"/>
          <w:lang w:val="en-US" w:bidi="en-US"/>
        </w:rPr>
        <w:t>. Mean values represent the mean ± SD of three independent experiments with three different biological donors.</w:t>
      </w:r>
    </w:p>
    <w:p w14:paraId="413A2BAA" w14:textId="77777777" w:rsidR="008A5010" w:rsidRPr="009835D3" w:rsidRDefault="008A5010" w:rsidP="008A5010">
      <w:pPr>
        <w:rPr>
          <w:lang w:val="en-US" w:bidi="en-US"/>
        </w:rPr>
      </w:pPr>
    </w:p>
    <w:p w14:paraId="63DB5FA0" w14:textId="77777777" w:rsidR="008A5010" w:rsidRPr="009835D3" w:rsidRDefault="008A5010" w:rsidP="008A5010">
      <w:pPr>
        <w:spacing w:line="360" w:lineRule="auto"/>
        <w:rPr>
          <w:lang w:val="en-US"/>
        </w:rPr>
      </w:pPr>
      <w:r w:rsidRPr="009835D3">
        <w:rPr>
          <w:noProof/>
        </w:rPr>
        <w:lastRenderedPageBreak/>
        <w:drawing>
          <wp:inline distT="0" distB="0" distL="0" distR="0" wp14:anchorId="7CAF3334" wp14:editId="684C4401">
            <wp:extent cx="5760720" cy="4884420"/>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4884420"/>
                    </a:xfrm>
                    <a:prstGeom prst="rect">
                      <a:avLst/>
                    </a:prstGeom>
                    <a:noFill/>
                    <a:ln>
                      <a:noFill/>
                    </a:ln>
                  </pic:spPr>
                </pic:pic>
              </a:graphicData>
            </a:graphic>
          </wp:inline>
        </w:drawing>
      </w:r>
    </w:p>
    <w:p w14:paraId="71F06CFD" w14:textId="77777777" w:rsidR="008A5010" w:rsidRPr="00B4336F" w:rsidRDefault="008A5010" w:rsidP="008A5010">
      <w:pPr>
        <w:spacing w:line="360" w:lineRule="auto"/>
        <w:rPr>
          <w:rFonts w:ascii="Times New Roman" w:hAnsi="Times New Roman" w:cs="Times New Roman"/>
          <w:sz w:val="24"/>
          <w:szCs w:val="24"/>
          <w:lang w:val="en-US" w:bidi="en-US"/>
        </w:rPr>
      </w:pPr>
      <w:r w:rsidRPr="00B4336F">
        <w:rPr>
          <w:rFonts w:ascii="Times New Roman" w:hAnsi="Times New Roman" w:cs="Times New Roman"/>
          <w:b/>
          <w:bCs/>
          <w:sz w:val="24"/>
          <w:szCs w:val="24"/>
          <w:lang w:val="en-US"/>
        </w:rPr>
        <w:t>Figure S7.</w:t>
      </w:r>
      <w:r w:rsidRPr="00B4336F">
        <w:rPr>
          <w:rFonts w:ascii="Times New Roman" w:hAnsi="Times New Roman" w:cs="Times New Roman"/>
          <w:sz w:val="24"/>
          <w:szCs w:val="24"/>
          <w:lang w:val="en-US"/>
        </w:rPr>
        <w:t xml:space="preserve"> </w:t>
      </w:r>
      <w:r w:rsidRPr="00B4336F">
        <w:rPr>
          <w:rFonts w:ascii="Times New Roman" w:hAnsi="Times New Roman" w:cs="Times New Roman"/>
          <w:sz w:val="24"/>
          <w:szCs w:val="24"/>
          <w:lang w:val="en-US" w:bidi="en-US"/>
        </w:rPr>
        <w:t>Cytokine release in co-culture over 3 days. IL-1β, TNFα, IL-6, and IL-8 in the supernatant of unstimulated and PMA, LPS, or PMA+LPS-activated co-culture (AC-MM6, AC-THP-1). Mean values represent the mean ± SD in pg mL</w:t>
      </w:r>
      <w:r w:rsidRPr="00B4336F">
        <w:rPr>
          <w:rFonts w:ascii="Times New Roman" w:hAnsi="Times New Roman" w:cs="Times New Roman"/>
          <w:sz w:val="24"/>
          <w:szCs w:val="24"/>
          <w:vertAlign w:val="superscript"/>
          <w:lang w:val="en-US" w:bidi="en-US"/>
        </w:rPr>
        <w:t xml:space="preserve">-1 </w:t>
      </w:r>
      <w:r w:rsidRPr="00B4336F">
        <w:rPr>
          <w:rFonts w:ascii="Times New Roman" w:hAnsi="Times New Roman" w:cs="Times New Roman"/>
          <w:sz w:val="24"/>
          <w:szCs w:val="24"/>
          <w:lang w:val="en-US" w:bidi="en-US"/>
        </w:rPr>
        <w:t>of three independent experiments with three different biological donors.</w:t>
      </w:r>
    </w:p>
    <w:p w14:paraId="2F922D62" w14:textId="77777777" w:rsidR="008A5010" w:rsidRPr="009835D3" w:rsidRDefault="008A5010" w:rsidP="008A5010">
      <w:pPr>
        <w:spacing w:line="360" w:lineRule="auto"/>
        <w:rPr>
          <w:lang w:val="en-US"/>
        </w:rPr>
      </w:pPr>
    </w:p>
    <w:p w14:paraId="15E3CBAA" w14:textId="77777777" w:rsidR="008A5010" w:rsidRPr="00B4336F" w:rsidRDefault="008A5010" w:rsidP="008A5010">
      <w:pPr>
        <w:spacing w:line="360" w:lineRule="auto"/>
        <w:rPr>
          <w:rFonts w:ascii="Times New Roman" w:hAnsi="Times New Roman" w:cs="Times New Roman"/>
          <w:sz w:val="24"/>
          <w:szCs w:val="24"/>
          <w:lang w:val="en-US"/>
        </w:rPr>
      </w:pPr>
      <w:r w:rsidRPr="00B4336F">
        <w:rPr>
          <w:rFonts w:ascii="Times New Roman" w:hAnsi="Times New Roman" w:cs="Times New Roman"/>
          <w:b/>
          <w:bCs/>
          <w:sz w:val="24"/>
          <w:szCs w:val="24"/>
          <w:lang w:val="en-US"/>
        </w:rPr>
        <w:t>Table S1.</w:t>
      </w:r>
      <w:r w:rsidRPr="00B4336F">
        <w:rPr>
          <w:rFonts w:ascii="Times New Roman" w:hAnsi="Times New Roman" w:cs="Times New Roman"/>
          <w:sz w:val="24"/>
          <w:szCs w:val="24"/>
          <w:lang w:val="en-US"/>
        </w:rPr>
        <w:t xml:space="preserve"> Donor demographics of subcutaneous adipose tissue biopsies</w:t>
      </w:r>
    </w:p>
    <w:tbl>
      <w:tblPr>
        <w:tblStyle w:val="Tabellenraster"/>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4"/>
        <w:gridCol w:w="1678"/>
        <w:gridCol w:w="1648"/>
        <w:gridCol w:w="1648"/>
        <w:gridCol w:w="1648"/>
      </w:tblGrid>
      <w:tr w:rsidR="008A5010" w:rsidRPr="009835D3" w14:paraId="7F20C679" w14:textId="77777777" w:rsidTr="002A4E02">
        <w:tc>
          <w:tcPr>
            <w:tcW w:w="1331" w:type="pct"/>
            <w:tcBorders>
              <w:top w:val="single" w:sz="4" w:space="0" w:color="auto"/>
              <w:bottom w:val="single" w:sz="4" w:space="0" w:color="auto"/>
            </w:tcBorders>
          </w:tcPr>
          <w:p w14:paraId="5F090209"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 xml:space="preserve">Experiment </w:t>
            </w:r>
          </w:p>
        </w:tc>
        <w:tc>
          <w:tcPr>
            <w:tcW w:w="929" w:type="pct"/>
            <w:tcBorders>
              <w:top w:val="single" w:sz="4" w:space="0" w:color="auto"/>
              <w:bottom w:val="single" w:sz="4" w:space="0" w:color="auto"/>
            </w:tcBorders>
          </w:tcPr>
          <w:p w14:paraId="77A005D5"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Sex</w:t>
            </w:r>
          </w:p>
        </w:tc>
        <w:tc>
          <w:tcPr>
            <w:tcW w:w="913" w:type="pct"/>
            <w:tcBorders>
              <w:top w:val="single" w:sz="4" w:space="0" w:color="auto"/>
              <w:bottom w:val="single" w:sz="4" w:space="0" w:color="auto"/>
            </w:tcBorders>
          </w:tcPr>
          <w:p w14:paraId="510CB22A"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Age</w:t>
            </w:r>
          </w:p>
        </w:tc>
        <w:tc>
          <w:tcPr>
            <w:tcW w:w="913" w:type="pct"/>
            <w:tcBorders>
              <w:top w:val="single" w:sz="4" w:space="0" w:color="auto"/>
              <w:bottom w:val="single" w:sz="4" w:space="0" w:color="auto"/>
            </w:tcBorders>
          </w:tcPr>
          <w:p w14:paraId="6F1BE3C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Source of biopsy</w:t>
            </w:r>
          </w:p>
        </w:tc>
        <w:tc>
          <w:tcPr>
            <w:tcW w:w="913" w:type="pct"/>
            <w:tcBorders>
              <w:top w:val="single" w:sz="4" w:space="0" w:color="auto"/>
              <w:bottom w:val="single" w:sz="4" w:space="0" w:color="auto"/>
            </w:tcBorders>
          </w:tcPr>
          <w:p w14:paraId="1BFE2010"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BMI at surgery</w:t>
            </w:r>
          </w:p>
        </w:tc>
      </w:tr>
      <w:tr w:rsidR="008A5010" w:rsidRPr="009835D3" w14:paraId="13890A66" w14:textId="77777777" w:rsidTr="002A4E02">
        <w:tc>
          <w:tcPr>
            <w:tcW w:w="1331" w:type="pct"/>
            <w:vMerge w:val="restart"/>
            <w:tcBorders>
              <w:top w:val="single" w:sz="4" w:space="0" w:color="auto"/>
              <w:bottom w:val="nil"/>
            </w:tcBorders>
          </w:tcPr>
          <w:p w14:paraId="276B06CC"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Comparison col/GG</w:t>
            </w:r>
          </w:p>
        </w:tc>
        <w:tc>
          <w:tcPr>
            <w:tcW w:w="929" w:type="pct"/>
            <w:tcBorders>
              <w:top w:val="single" w:sz="4" w:space="0" w:color="auto"/>
              <w:bottom w:val="nil"/>
            </w:tcBorders>
          </w:tcPr>
          <w:p w14:paraId="4FF076E2"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single" w:sz="4" w:space="0" w:color="auto"/>
              <w:bottom w:val="nil"/>
            </w:tcBorders>
          </w:tcPr>
          <w:p w14:paraId="570D8D79"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37</w:t>
            </w:r>
          </w:p>
        </w:tc>
        <w:tc>
          <w:tcPr>
            <w:tcW w:w="913" w:type="pct"/>
            <w:tcBorders>
              <w:top w:val="single" w:sz="4" w:space="0" w:color="auto"/>
              <w:bottom w:val="nil"/>
            </w:tcBorders>
          </w:tcPr>
          <w:p w14:paraId="3DF93ED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Abdomen</w:t>
            </w:r>
          </w:p>
        </w:tc>
        <w:tc>
          <w:tcPr>
            <w:tcW w:w="913" w:type="pct"/>
            <w:tcBorders>
              <w:top w:val="single" w:sz="4" w:space="0" w:color="auto"/>
              <w:bottom w:val="nil"/>
            </w:tcBorders>
          </w:tcPr>
          <w:p w14:paraId="1DEC7674"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34.3</w:t>
            </w:r>
          </w:p>
        </w:tc>
      </w:tr>
      <w:tr w:rsidR="008A5010" w:rsidRPr="009835D3" w14:paraId="7BDD61A0" w14:textId="77777777" w:rsidTr="002A4E02">
        <w:tc>
          <w:tcPr>
            <w:tcW w:w="1331" w:type="pct"/>
            <w:vMerge/>
            <w:tcBorders>
              <w:top w:val="nil"/>
              <w:bottom w:val="nil"/>
            </w:tcBorders>
          </w:tcPr>
          <w:p w14:paraId="0B609EC2" w14:textId="77777777" w:rsidR="008A5010" w:rsidRPr="009835D3" w:rsidRDefault="008A5010" w:rsidP="002A4E02">
            <w:pPr>
              <w:jc w:val="center"/>
              <w:rPr>
                <w:rFonts w:ascii="Arial" w:hAnsi="Arial" w:cs="Arial"/>
                <w:sz w:val="16"/>
                <w:szCs w:val="16"/>
                <w:lang w:val="en-US"/>
              </w:rPr>
            </w:pPr>
          </w:p>
        </w:tc>
        <w:tc>
          <w:tcPr>
            <w:tcW w:w="929" w:type="pct"/>
            <w:tcBorders>
              <w:top w:val="nil"/>
              <w:bottom w:val="nil"/>
            </w:tcBorders>
          </w:tcPr>
          <w:p w14:paraId="14B738B1"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bottom w:val="nil"/>
            </w:tcBorders>
          </w:tcPr>
          <w:p w14:paraId="5406AB53"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48</w:t>
            </w:r>
          </w:p>
        </w:tc>
        <w:tc>
          <w:tcPr>
            <w:tcW w:w="913" w:type="pct"/>
            <w:tcBorders>
              <w:top w:val="nil"/>
              <w:bottom w:val="nil"/>
            </w:tcBorders>
          </w:tcPr>
          <w:p w14:paraId="1EE784DE"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 xml:space="preserve">Thigh </w:t>
            </w:r>
          </w:p>
        </w:tc>
        <w:tc>
          <w:tcPr>
            <w:tcW w:w="913" w:type="pct"/>
            <w:tcBorders>
              <w:top w:val="nil"/>
              <w:bottom w:val="nil"/>
            </w:tcBorders>
          </w:tcPr>
          <w:p w14:paraId="32E0F9D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23.3</w:t>
            </w:r>
          </w:p>
        </w:tc>
      </w:tr>
      <w:tr w:rsidR="008A5010" w:rsidRPr="009835D3" w14:paraId="4AC818E7" w14:textId="77777777" w:rsidTr="002A4E02">
        <w:tc>
          <w:tcPr>
            <w:tcW w:w="1331" w:type="pct"/>
            <w:vMerge/>
            <w:tcBorders>
              <w:top w:val="nil"/>
              <w:bottom w:val="nil"/>
            </w:tcBorders>
          </w:tcPr>
          <w:p w14:paraId="76F743FD" w14:textId="77777777" w:rsidR="008A5010" w:rsidRPr="009835D3" w:rsidRDefault="008A5010" w:rsidP="002A4E02">
            <w:pPr>
              <w:jc w:val="center"/>
              <w:rPr>
                <w:rFonts w:ascii="Arial" w:hAnsi="Arial" w:cs="Arial"/>
                <w:sz w:val="16"/>
                <w:szCs w:val="16"/>
                <w:lang w:val="en-US"/>
              </w:rPr>
            </w:pPr>
          </w:p>
        </w:tc>
        <w:tc>
          <w:tcPr>
            <w:tcW w:w="929" w:type="pct"/>
            <w:tcBorders>
              <w:top w:val="nil"/>
              <w:bottom w:val="nil"/>
            </w:tcBorders>
          </w:tcPr>
          <w:p w14:paraId="06F82D5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bottom w:val="nil"/>
            </w:tcBorders>
          </w:tcPr>
          <w:p w14:paraId="79EFE96C"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55</w:t>
            </w:r>
          </w:p>
        </w:tc>
        <w:tc>
          <w:tcPr>
            <w:tcW w:w="913" w:type="pct"/>
            <w:tcBorders>
              <w:top w:val="nil"/>
              <w:bottom w:val="nil"/>
            </w:tcBorders>
          </w:tcPr>
          <w:p w14:paraId="03DAC262"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Thigh</w:t>
            </w:r>
          </w:p>
        </w:tc>
        <w:tc>
          <w:tcPr>
            <w:tcW w:w="913" w:type="pct"/>
            <w:tcBorders>
              <w:top w:val="nil"/>
              <w:bottom w:val="nil"/>
            </w:tcBorders>
          </w:tcPr>
          <w:p w14:paraId="7A5FDDAC"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24.5</w:t>
            </w:r>
          </w:p>
        </w:tc>
      </w:tr>
      <w:tr w:rsidR="008A5010" w:rsidRPr="009835D3" w14:paraId="26E909A7" w14:textId="77777777" w:rsidTr="002A4E02">
        <w:tc>
          <w:tcPr>
            <w:tcW w:w="1331" w:type="pct"/>
            <w:vMerge w:val="restart"/>
            <w:tcBorders>
              <w:top w:val="nil"/>
              <w:bottom w:val="nil"/>
            </w:tcBorders>
          </w:tcPr>
          <w:p w14:paraId="797034D9"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AC monoculture activation</w:t>
            </w:r>
          </w:p>
        </w:tc>
        <w:tc>
          <w:tcPr>
            <w:tcW w:w="929" w:type="pct"/>
            <w:tcBorders>
              <w:top w:val="nil"/>
              <w:bottom w:val="nil"/>
            </w:tcBorders>
          </w:tcPr>
          <w:p w14:paraId="60A86E5A"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bottom w:val="nil"/>
            </w:tcBorders>
          </w:tcPr>
          <w:p w14:paraId="389E66E9"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48</w:t>
            </w:r>
          </w:p>
        </w:tc>
        <w:tc>
          <w:tcPr>
            <w:tcW w:w="913" w:type="pct"/>
            <w:tcBorders>
              <w:top w:val="nil"/>
              <w:bottom w:val="nil"/>
            </w:tcBorders>
          </w:tcPr>
          <w:p w14:paraId="2FDEC7EC"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 xml:space="preserve">Thigh </w:t>
            </w:r>
          </w:p>
        </w:tc>
        <w:tc>
          <w:tcPr>
            <w:tcW w:w="913" w:type="pct"/>
            <w:tcBorders>
              <w:top w:val="nil"/>
              <w:bottom w:val="nil"/>
            </w:tcBorders>
          </w:tcPr>
          <w:p w14:paraId="10A862F5"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23.3</w:t>
            </w:r>
          </w:p>
        </w:tc>
      </w:tr>
      <w:tr w:rsidR="008A5010" w:rsidRPr="009835D3" w14:paraId="50B732EA" w14:textId="77777777" w:rsidTr="002A4E02">
        <w:tc>
          <w:tcPr>
            <w:tcW w:w="1331" w:type="pct"/>
            <w:vMerge/>
            <w:tcBorders>
              <w:top w:val="nil"/>
              <w:bottom w:val="nil"/>
            </w:tcBorders>
          </w:tcPr>
          <w:p w14:paraId="55240B6E" w14:textId="77777777" w:rsidR="008A5010" w:rsidRPr="009835D3" w:rsidRDefault="008A5010" w:rsidP="002A4E02">
            <w:pPr>
              <w:jc w:val="center"/>
              <w:rPr>
                <w:rFonts w:ascii="Arial" w:hAnsi="Arial" w:cs="Arial"/>
                <w:sz w:val="16"/>
                <w:szCs w:val="16"/>
                <w:lang w:val="en-US"/>
              </w:rPr>
            </w:pPr>
          </w:p>
        </w:tc>
        <w:tc>
          <w:tcPr>
            <w:tcW w:w="929" w:type="pct"/>
            <w:tcBorders>
              <w:top w:val="nil"/>
              <w:bottom w:val="nil"/>
            </w:tcBorders>
          </w:tcPr>
          <w:p w14:paraId="62D76AE7"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bottom w:val="nil"/>
            </w:tcBorders>
          </w:tcPr>
          <w:p w14:paraId="7D2D07FD"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55</w:t>
            </w:r>
          </w:p>
        </w:tc>
        <w:tc>
          <w:tcPr>
            <w:tcW w:w="913" w:type="pct"/>
            <w:tcBorders>
              <w:top w:val="nil"/>
              <w:bottom w:val="nil"/>
            </w:tcBorders>
          </w:tcPr>
          <w:p w14:paraId="43988094"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Thigh</w:t>
            </w:r>
          </w:p>
        </w:tc>
        <w:tc>
          <w:tcPr>
            <w:tcW w:w="913" w:type="pct"/>
            <w:tcBorders>
              <w:top w:val="nil"/>
              <w:bottom w:val="nil"/>
            </w:tcBorders>
          </w:tcPr>
          <w:p w14:paraId="4C89776B"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24.5</w:t>
            </w:r>
          </w:p>
        </w:tc>
      </w:tr>
      <w:tr w:rsidR="008A5010" w:rsidRPr="009835D3" w14:paraId="5D573ABB" w14:textId="77777777" w:rsidTr="002A4E02">
        <w:tc>
          <w:tcPr>
            <w:tcW w:w="1331" w:type="pct"/>
            <w:vMerge/>
            <w:tcBorders>
              <w:top w:val="nil"/>
              <w:bottom w:val="nil"/>
            </w:tcBorders>
          </w:tcPr>
          <w:p w14:paraId="1F291C31" w14:textId="77777777" w:rsidR="008A5010" w:rsidRPr="009835D3" w:rsidRDefault="008A5010" w:rsidP="002A4E02">
            <w:pPr>
              <w:jc w:val="center"/>
              <w:rPr>
                <w:rFonts w:ascii="Arial" w:hAnsi="Arial" w:cs="Arial"/>
                <w:sz w:val="16"/>
                <w:szCs w:val="16"/>
                <w:lang w:val="en-US"/>
              </w:rPr>
            </w:pPr>
          </w:p>
        </w:tc>
        <w:tc>
          <w:tcPr>
            <w:tcW w:w="929" w:type="pct"/>
            <w:tcBorders>
              <w:top w:val="nil"/>
              <w:bottom w:val="nil"/>
            </w:tcBorders>
          </w:tcPr>
          <w:p w14:paraId="072B4DD5"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bottom w:val="nil"/>
            </w:tcBorders>
          </w:tcPr>
          <w:p w14:paraId="2355A98A"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43</w:t>
            </w:r>
          </w:p>
        </w:tc>
        <w:tc>
          <w:tcPr>
            <w:tcW w:w="913" w:type="pct"/>
            <w:tcBorders>
              <w:top w:val="nil"/>
              <w:bottom w:val="nil"/>
            </w:tcBorders>
          </w:tcPr>
          <w:p w14:paraId="2855DFB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Abdomen</w:t>
            </w:r>
          </w:p>
        </w:tc>
        <w:tc>
          <w:tcPr>
            <w:tcW w:w="913" w:type="pct"/>
            <w:tcBorders>
              <w:top w:val="nil"/>
              <w:bottom w:val="nil"/>
            </w:tcBorders>
          </w:tcPr>
          <w:p w14:paraId="0174150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31.6</w:t>
            </w:r>
          </w:p>
        </w:tc>
      </w:tr>
      <w:tr w:rsidR="008A5010" w:rsidRPr="009835D3" w14:paraId="6510745B" w14:textId="77777777" w:rsidTr="002A4E02">
        <w:tc>
          <w:tcPr>
            <w:tcW w:w="1331" w:type="pct"/>
            <w:vMerge w:val="restart"/>
            <w:tcBorders>
              <w:top w:val="nil"/>
            </w:tcBorders>
          </w:tcPr>
          <w:p w14:paraId="7674F092"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AC co-culture activation</w:t>
            </w:r>
          </w:p>
        </w:tc>
        <w:tc>
          <w:tcPr>
            <w:tcW w:w="929" w:type="pct"/>
            <w:tcBorders>
              <w:top w:val="nil"/>
            </w:tcBorders>
          </w:tcPr>
          <w:p w14:paraId="7F3E1822"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Borders>
              <w:top w:val="nil"/>
            </w:tcBorders>
          </w:tcPr>
          <w:p w14:paraId="0C30BD60"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32</w:t>
            </w:r>
          </w:p>
        </w:tc>
        <w:tc>
          <w:tcPr>
            <w:tcW w:w="913" w:type="pct"/>
            <w:tcBorders>
              <w:top w:val="nil"/>
            </w:tcBorders>
          </w:tcPr>
          <w:p w14:paraId="44DDCA71"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 xml:space="preserve">Thigh </w:t>
            </w:r>
          </w:p>
        </w:tc>
        <w:tc>
          <w:tcPr>
            <w:tcW w:w="913" w:type="pct"/>
            <w:tcBorders>
              <w:top w:val="nil"/>
            </w:tcBorders>
          </w:tcPr>
          <w:p w14:paraId="0BAC1E3B"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28</w:t>
            </w:r>
          </w:p>
        </w:tc>
      </w:tr>
      <w:tr w:rsidR="008A5010" w:rsidRPr="009835D3" w14:paraId="357FB9E3" w14:textId="77777777" w:rsidTr="002A4E02">
        <w:tc>
          <w:tcPr>
            <w:tcW w:w="1331" w:type="pct"/>
            <w:vMerge/>
          </w:tcPr>
          <w:p w14:paraId="434CA65E" w14:textId="77777777" w:rsidR="008A5010" w:rsidRPr="009835D3" w:rsidRDefault="008A5010" w:rsidP="002A4E02">
            <w:pPr>
              <w:jc w:val="center"/>
              <w:rPr>
                <w:rFonts w:ascii="Arial" w:hAnsi="Arial" w:cs="Arial"/>
                <w:sz w:val="16"/>
                <w:szCs w:val="16"/>
                <w:lang w:val="en-US"/>
              </w:rPr>
            </w:pPr>
          </w:p>
        </w:tc>
        <w:tc>
          <w:tcPr>
            <w:tcW w:w="929" w:type="pct"/>
          </w:tcPr>
          <w:p w14:paraId="6E973FC9"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Pr>
          <w:p w14:paraId="3B76E17B"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43</w:t>
            </w:r>
          </w:p>
        </w:tc>
        <w:tc>
          <w:tcPr>
            <w:tcW w:w="913" w:type="pct"/>
          </w:tcPr>
          <w:p w14:paraId="5AB4EF0B"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Abdomen</w:t>
            </w:r>
          </w:p>
        </w:tc>
        <w:tc>
          <w:tcPr>
            <w:tcW w:w="913" w:type="pct"/>
          </w:tcPr>
          <w:p w14:paraId="6A435E2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31.6</w:t>
            </w:r>
          </w:p>
        </w:tc>
      </w:tr>
      <w:tr w:rsidR="008A5010" w:rsidRPr="009835D3" w14:paraId="35544A73" w14:textId="77777777" w:rsidTr="002A4E02">
        <w:tc>
          <w:tcPr>
            <w:tcW w:w="1331" w:type="pct"/>
            <w:vMerge/>
          </w:tcPr>
          <w:p w14:paraId="000B0A64" w14:textId="77777777" w:rsidR="008A5010" w:rsidRPr="009835D3" w:rsidRDefault="008A5010" w:rsidP="002A4E02">
            <w:pPr>
              <w:jc w:val="center"/>
              <w:rPr>
                <w:rFonts w:ascii="Arial" w:hAnsi="Arial" w:cs="Arial"/>
                <w:sz w:val="16"/>
                <w:szCs w:val="16"/>
                <w:lang w:val="en-US"/>
              </w:rPr>
            </w:pPr>
          </w:p>
        </w:tc>
        <w:tc>
          <w:tcPr>
            <w:tcW w:w="929" w:type="pct"/>
          </w:tcPr>
          <w:p w14:paraId="429A5866"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Female</w:t>
            </w:r>
          </w:p>
        </w:tc>
        <w:tc>
          <w:tcPr>
            <w:tcW w:w="913" w:type="pct"/>
          </w:tcPr>
          <w:p w14:paraId="363E1221"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46</w:t>
            </w:r>
          </w:p>
        </w:tc>
        <w:tc>
          <w:tcPr>
            <w:tcW w:w="913" w:type="pct"/>
          </w:tcPr>
          <w:p w14:paraId="064A51A3"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Abdomen</w:t>
            </w:r>
          </w:p>
        </w:tc>
        <w:tc>
          <w:tcPr>
            <w:tcW w:w="913" w:type="pct"/>
          </w:tcPr>
          <w:p w14:paraId="6C2A7EED" w14:textId="77777777" w:rsidR="008A5010" w:rsidRPr="009835D3" w:rsidRDefault="008A5010" w:rsidP="002A4E02">
            <w:pPr>
              <w:jc w:val="center"/>
              <w:rPr>
                <w:rFonts w:ascii="Arial" w:hAnsi="Arial" w:cs="Arial"/>
                <w:sz w:val="16"/>
                <w:szCs w:val="16"/>
                <w:lang w:val="en-US"/>
              </w:rPr>
            </w:pPr>
            <w:r w:rsidRPr="009835D3">
              <w:rPr>
                <w:rFonts w:ascii="Arial" w:hAnsi="Arial" w:cs="Arial"/>
                <w:sz w:val="16"/>
                <w:szCs w:val="16"/>
                <w:lang w:val="en-US"/>
              </w:rPr>
              <w:t>30.5</w:t>
            </w:r>
          </w:p>
        </w:tc>
      </w:tr>
    </w:tbl>
    <w:p w14:paraId="7DB8FD75" w14:textId="77777777" w:rsidR="008A5010" w:rsidRDefault="008A5010"/>
    <w:sectPr w:rsidR="008A50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5010"/>
    <w:rsid w:val="008A5010"/>
    <w:rsid w:val="00B4336F"/>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91D625"/>
  <w15:chartTrackingRefBased/>
  <w15:docId w15:val="{522715F6-3A7F-476A-914D-220F11A80E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uthorsFull">
    <w:name w:val="Authors Full"/>
    <w:basedOn w:val="Standard"/>
    <w:rsid w:val="008A5010"/>
    <w:pPr>
      <w:spacing w:after="0" w:line="240" w:lineRule="auto"/>
    </w:pPr>
    <w:rPr>
      <w:rFonts w:ascii="Times New Roman" w:eastAsia="MS Mincho" w:hAnsi="Times New Roman" w:cs="Times New Roman"/>
      <w:i/>
      <w:sz w:val="24"/>
      <w:szCs w:val="24"/>
      <w:lang w:val="en-US" w:eastAsia="ja-JP"/>
    </w:rPr>
  </w:style>
  <w:style w:type="paragraph" w:customStyle="1" w:styleId="Legend">
    <w:name w:val="Legend"/>
    <w:basedOn w:val="Standard"/>
    <w:rsid w:val="008A5010"/>
    <w:pPr>
      <w:spacing w:after="0" w:line="240" w:lineRule="auto"/>
    </w:pPr>
    <w:rPr>
      <w:rFonts w:ascii="Times New Roman" w:eastAsia="MS Mincho" w:hAnsi="Times New Roman" w:cs="Times New Roman"/>
      <w:sz w:val="24"/>
      <w:szCs w:val="24"/>
      <w:lang w:val="en-US" w:eastAsia="ja-JP"/>
    </w:rPr>
  </w:style>
  <w:style w:type="paragraph" w:customStyle="1" w:styleId="Tableofcontents">
    <w:name w:val="Table of contents"/>
    <w:basedOn w:val="Standard"/>
    <w:autoRedefine/>
    <w:rsid w:val="008A5010"/>
    <w:pPr>
      <w:spacing w:after="0" w:line="240" w:lineRule="auto"/>
    </w:pPr>
    <w:rPr>
      <w:rFonts w:ascii="Times New Roman" w:eastAsia="MS Mincho" w:hAnsi="Times New Roman" w:cs="Times New Roman"/>
      <w:sz w:val="24"/>
      <w:szCs w:val="24"/>
      <w:lang w:val="en-US" w:eastAsia="ja-JP"/>
    </w:rPr>
  </w:style>
  <w:style w:type="paragraph" w:customStyle="1" w:styleId="Title2">
    <w:name w:val="Title2"/>
    <w:basedOn w:val="Standard"/>
    <w:rsid w:val="008A5010"/>
    <w:pPr>
      <w:spacing w:after="0" w:line="240" w:lineRule="auto"/>
    </w:pPr>
    <w:rPr>
      <w:rFonts w:ascii="Times New Roman" w:eastAsia="MS Mincho" w:hAnsi="Times New Roman" w:cs="Times New Roman"/>
      <w:b/>
      <w:sz w:val="24"/>
      <w:szCs w:val="24"/>
      <w:lang w:val="en-US" w:eastAsia="ja-JP"/>
    </w:rPr>
  </w:style>
  <w:style w:type="table" w:styleId="Tabellenraster">
    <w:name w:val="Table Grid"/>
    <w:basedOn w:val="NormaleTabelle"/>
    <w:uiPriority w:val="39"/>
    <w:rsid w:val="008A5010"/>
    <w:pPr>
      <w:spacing w:after="0" w:line="240" w:lineRule="auto"/>
    </w:pPr>
    <w:rPr>
      <w:rFonts w:ascii="Times New Roman" w:eastAsia="MS Mincho"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fontTable" Target="fontTable.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623</Words>
  <Characters>3329</Characters>
  <Application>Microsoft Office Word</Application>
  <DocSecurity>0</DocSecurity>
  <Lines>128</Lines>
  <Paragraphs>65</Paragraphs>
  <ScaleCrop>false</ScaleCrop>
  <Company/>
  <LinksUpToDate>false</LinksUpToDate>
  <CharactersWithSpaces>3887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Vinay Kumar Jaiswal</dc:creator>
  <cp:keywords/>
  <dc:description/>
  <cp:lastModifiedBy>Nowakowski, Sophia</cp:lastModifiedBy>
  <cp:revision>2</cp:revision>
  <dcterms:created xsi:type="dcterms:W3CDTF">2025-06-09T07:25:00Z</dcterms:created>
  <dcterms:modified xsi:type="dcterms:W3CDTF">2025-06-13T07:02:00Z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b0ae7542-f330-4657-aa1e-de669d71b1c2</vt:lpwstr>
  </property>
</Properties>
</file>