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item2.xml" ContentType="application/xml"/>
  <Override PartName="/customXml/_rels/item1.xml.rels" ContentType="application/vnd.openxmlformats-package.relationships+xml"/>
  <Override PartName="/customXml/_rels/item2.xml.rels" ContentType="application/vnd.openxmlformats-package.relationships+xml"/>
  <Override PartName="/customXml/_rels/item3.xml.rels" ContentType="application/vnd.openxmlformats-package.relationships+xml"/>
  <Override PartName="/customXml/itemProps2.xml" ContentType="application/vnd.openxmlformats-officedocument.customXmlProperties+xml"/>
  <Override PartName="/customXml/item3.xml" ContentType="application/xml"/>
  <Override PartName="/customXml/itemProps3.xml" ContentType="application/vnd.openxmlformats-officedocument.customXml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keepNext w:val="true"/>
        <w:numPr>
          <w:ilvl w:val="0"/>
          <w:numId w:val="0"/>
        </w:numPr>
        <w:spacing w:before="360" w:after="120"/>
        <w:ind w:right="567"/>
        <w:contextualSpacing/>
        <w:outlineLvl w:val="0"/>
        <w:rPr/>
      </w:pPr>
      <w:r>
        <w:rPr>
          <w:rFonts w:cs="Arial Unicode MS" w:ascii="Arial Unicode MS" w:hAnsi="Arial Unicode MS"/>
          <w:b/>
          <w:bCs/>
          <w:kern w:val="2"/>
          <w:sz w:val="26"/>
          <w:szCs w:val="32"/>
          <w:lang w:eastAsia="en-GB"/>
        </w:rPr>
        <w:t>Appendix</w:t>
      </w:r>
    </w:p>
    <w:tbl>
      <w:tblPr>
        <w:tblW w:w="906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49"/>
        <w:gridCol w:w="2934"/>
        <w:gridCol w:w="1227"/>
        <w:gridCol w:w="521"/>
        <w:gridCol w:w="502"/>
        <w:gridCol w:w="509"/>
        <w:gridCol w:w="2924"/>
      </w:tblGrid>
      <w:tr>
        <w:trPr>
          <w:trHeight w:val="454" w:hRule="atLeast"/>
        </w:trPr>
        <w:tc>
          <w:tcPr>
            <w:tcW w:w="449" w:type="dxa"/>
            <w:tcBorders>
              <w:top w:val="single" w:sz="12" w:space="0" w:color="000000"/>
              <w:bottom w:val="single" w:sz="12" w:space="0" w:color="000000"/>
            </w:tcBorders>
          </w:tcPr>
          <w:p>
            <w:pPr>
              <w:pStyle w:val="Normal"/>
              <w:spacing w:before="0" w:after="200"/>
              <w:rPr>
                <w:b/>
                <w:bCs/>
                <w:i/>
                <w:i/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b/>
                <w:bCs/>
                <w:i/>
                <w:sz w:val="16"/>
                <w:szCs w:val="16"/>
              </w:rPr>
              <w:t>#</w:t>
            </w:r>
          </w:p>
        </w:tc>
        <w:tc>
          <w:tcPr>
            <w:tcW w:w="2934" w:type="dxa"/>
            <w:tcBorders>
              <w:top w:val="single" w:sz="12" w:space="0" w:color="000000"/>
              <w:bottom w:val="single" w:sz="12" w:space="0" w:color="000000"/>
            </w:tcBorders>
          </w:tcPr>
          <w:p>
            <w:pPr>
              <w:pStyle w:val="Normal"/>
              <w:spacing w:before="0" w:after="200"/>
              <w:rPr>
                <w:b/>
                <w:bCs/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b/>
                <w:bCs/>
                <w:sz w:val="16"/>
                <w:szCs w:val="16"/>
              </w:rPr>
              <w:t>Publication</w:t>
            </w:r>
          </w:p>
        </w:tc>
        <w:tc>
          <w:tcPr>
            <w:tcW w:w="1227" w:type="dxa"/>
            <w:tcBorders>
              <w:top w:val="single" w:sz="12" w:space="0" w:color="000000"/>
              <w:bottom w:val="single" w:sz="12" w:space="0" w:color="000000"/>
            </w:tcBorders>
          </w:tcPr>
          <w:p>
            <w:pPr>
              <w:pStyle w:val="Normal"/>
              <w:spacing w:before="0" w:after="200"/>
              <w:rPr>
                <w:b/>
                <w:bCs/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b/>
                <w:bCs/>
                <w:sz w:val="16"/>
                <w:szCs w:val="16"/>
              </w:rPr>
              <w:t xml:space="preserve">Capability </w:t>
              <w:br/>
              <w:t>development</w:t>
            </w:r>
          </w:p>
        </w:tc>
        <w:tc>
          <w:tcPr>
            <w:tcW w:w="521" w:type="dxa"/>
            <w:tcBorders>
              <w:top w:val="single" w:sz="12" w:space="0" w:color="000000"/>
              <w:bottom w:val="single" w:sz="12" w:space="0" w:color="000000"/>
            </w:tcBorders>
          </w:tcPr>
          <w:p>
            <w:pPr>
              <w:pStyle w:val="Normal"/>
              <w:spacing w:before="0" w:after="200"/>
              <w:rPr>
                <w:b/>
                <w:bCs/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b/>
                <w:bCs/>
                <w:sz w:val="16"/>
                <w:szCs w:val="16"/>
              </w:rPr>
              <w:t>DT</w:t>
            </w:r>
          </w:p>
        </w:tc>
        <w:tc>
          <w:tcPr>
            <w:tcW w:w="502" w:type="dxa"/>
            <w:tcBorders>
              <w:top w:val="single" w:sz="12" w:space="0" w:color="000000"/>
              <w:bottom w:val="single" w:sz="12" w:space="0" w:color="000000"/>
            </w:tcBorders>
          </w:tcPr>
          <w:p>
            <w:pPr>
              <w:pStyle w:val="Normal"/>
              <w:spacing w:before="0" w:after="200"/>
              <w:rPr>
                <w:b/>
                <w:bCs/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b/>
                <w:bCs/>
                <w:sz w:val="16"/>
                <w:szCs w:val="16"/>
              </w:rPr>
              <w:t>ST</w:t>
            </w:r>
          </w:p>
        </w:tc>
        <w:tc>
          <w:tcPr>
            <w:tcW w:w="509" w:type="dxa"/>
            <w:tcBorders>
              <w:top w:val="single" w:sz="12" w:space="0" w:color="000000"/>
              <w:bottom w:val="single" w:sz="12" w:space="0" w:color="000000"/>
            </w:tcBorders>
          </w:tcPr>
          <w:p>
            <w:pPr>
              <w:pStyle w:val="Normal"/>
              <w:spacing w:before="0" w:after="200"/>
              <w:rPr>
                <w:b/>
                <w:bCs/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b/>
                <w:bCs/>
                <w:sz w:val="16"/>
                <w:szCs w:val="16"/>
              </w:rPr>
              <w:t>TT*</w:t>
            </w:r>
          </w:p>
        </w:tc>
        <w:tc>
          <w:tcPr>
            <w:tcW w:w="2924" w:type="dxa"/>
            <w:tcBorders>
              <w:top w:val="single" w:sz="12" w:space="0" w:color="000000"/>
              <w:bottom w:val="single" w:sz="12" w:space="0" w:color="000000"/>
            </w:tcBorders>
          </w:tcPr>
          <w:p>
            <w:pPr>
              <w:pStyle w:val="Normal"/>
              <w:spacing w:before="0" w:after="200"/>
              <w:rPr>
                <w:b/>
                <w:bCs/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b/>
                <w:bCs/>
                <w:sz w:val="16"/>
                <w:szCs w:val="16"/>
              </w:rPr>
              <w:t>Focus area(s)</w:t>
            </w:r>
          </w:p>
        </w:tc>
      </w:tr>
      <w:tr>
        <w:trPr>
          <w:trHeight w:val="454" w:hRule="atLeast"/>
        </w:trPr>
        <w:tc>
          <w:tcPr>
            <w:tcW w:w="449" w:type="dxa"/>
            <w:tcBorders>
              <w:top w:val="single" w:sz="12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1</w:t>
            </w:r>
          </w:p>
        </w:tc>
        <w:tc>
          <w:tcPr>
            <w:tcW w:w="2934" w:type="dxa"/>
            <w:tcBorders>
              <w:top w:val="single" w:sz="12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Aguiar et al. (2019)</w:t>
            </w:r>
          </w:p>
        </w:tc>
        <w:tc>
          <w:tcPr>
            <w:tcW w:w="1227" w:type="dxa"/>
            <w:tcBorders>
              <w:top w:val="single" w:sz="12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Yes</w:t>
            </w:r>
          </w:p>
        </w:tc>
        <w:tc>
          <w:tcPr>
            <w:tcW w:w="521" w:type="dxa"/>
            <w:tcBorders>
              <w:top w:val="single" w:sz="12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x</w:t>
            </w:r>
          </w:p>
        </w:tc>
        <w:tc>
          <w:tcPr>
            <w:tcW w:w="502" w:type="dxa"/>
            <w:tcBorders>
              <w:top w:val="single" w:sz="12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-</w:t>
            </w:r>
          </w:p>
        </w:tc>
        <w:tc>
          <w:tcPr>
            <w:tcW w:w="509" w:type="dxa"/>
            <w:tcBorders>
              <w:top w:val="single" w:sz="12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-</w:t>
            </w:r>
          </w:p>
        </w:tc>
        <w:tc>
          <w:tcPr>
            <w:tcW w:w="2924" w:type="dxa"/>
            <w:tcBorders>
              <w:top w:val="single" w:sz="12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Process perspective</w:t>
            </w:r>
          </w:p>
        </w:tc>
      </w:tr>
      <w:tr>
        <w:trPr>
          <w:trHeight w:val="454" w:hRule="atLeast"/>
        </w:trPr>
        <w:tc>
          <w:tcPr>
            <w:tcW w:w="44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2</w:t>
            </w:r>
          </w:p>
        </w:tc>
        <w:tc>
          <w:tcPr>
            <w:tcW w:w="2934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Amaral and Peças (2021)</w:t>
            </w:r>
          </w:p>
        </w:tc>
        <w:tc>
          <w:tcPr>
            <w:tcW w:w="1227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Partially</w:t>
            </w:r>
          </w:p>
        </w:tc>
        <w:tc>
          <w:tcPr>
            <w:tcW w:w="521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x</w:t>
            </w:r>
          </w:p>
        </w:tc>
        <w:tc>
          <w:tcPr>
            <w:tcW w:w="502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-</w:t>
            </w:r>
          </w:p>
        </w:tc>
        <w:tc>
          <w:tcPr>
            <w:tcW w:w="50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-</w:t>
            </w:r>
          </w:p>
        </w:tc>
        <w:tc>
          <w:tcPr>
            <w:tcW w:w="2924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Industry 4.0</w:t>
            </w:r>
          </w:p>
        </w:tc>
      </w:tr>
      <w:tr>
        <w:trPr>
          <w:trHeight w:val="454" w:hRule="atLeast"/>
        </w:trPr>
        <w:tc>
          <w:tcPr>
            <w:tcW w:w="44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3</w:t>
            </w:r>
          </w:p>
        </w:tc>
        <w:tc>
          <w:tcPr>
            <w:tcW w:w="2934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Aslanova and Kulichkina (2020)</w:t>
            </w:r>
          </w:p>
        </w:tc>
        <w:tc>
          <w:tcPr>
            <w:tcW w:w="1227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-</w:t>
            </w:r>
          </w:p>
        </w:tc>
        <w:tc>
          <w:tcPr>
            <w:tcW w:w="521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x</w:t>
            </w:r>
          </w:p>
        </w:tc>
        <w:tc>
          <w:tcPr>
            <w:tcW w:w="502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-</w:t>
            </w:r>
          </w:p>
        </w:tc>
        <w:tc>
          <w:tcPr>
            <w:tcW w:w="50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-</w:t>
            </w:r>
          </w:p>
        </w:tc>
        <w:tc>
          <w:tcPr>
            <w:tcW w:w="2924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-</w:t>
            </w:r>
          </w:p>
        </w:tc>
      </w:tr>
      <w:tr>
        <w:trPr>
          <w:trHeight w:val="454" w:hRule="atLeast"/>
        </w:trPr>
        <w:tc>
          <w:tcPr>
            <w:tcW w:w="44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4</w:t>
            </w:r>
          </w:p>
        </w:tc>
        <w:tc>
          <w:tcPr>
            <w:tcW w:w="2934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Chen et al. (2022)</w:t>
            </w:r>
          </w:p>
        </w:tc>
        <w:tc>
          <w:tcPr>
            <w:tcW w:w="1227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-</w:t>
            </w:r>
          </w:p>
        </w:tc>
        <w:tc>
          <w:tcPr>
            <w:tcW w:w="521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x</w:t>
            </w:r>
          </w:p>
        </w:tc>
        <w:tc>
          <w:tcPr>
            <w:tcW w:w="502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-</w:t>
            </w:r>
          </w:p>
        </w:tc>
        <w:tc>
          <w:tcPr>
            <w:tcW w:w="50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-</w:t>
            </w:r>
          </w:p>
        </w:tc>
        <w:tc>
          <w:tcPr>
            <w:tcW w:w="2924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SME; Manufacturing industry</w:t>
            </w:r>
          </w:p>
        </w:tc>
      </w:tr>
      <w:tr>
        <w:trPr>
          <w:trHeight w:val="454" w:hRule="atLeast"/>
        </w:trPr>
        <w:tc>
          <w:tcPr>
            <w:tcW w:w="44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5</w:t>
            </w:r>
          </w:p>
        </w:tc>
        <w:tc>
          <w:tcPr>
            <w:tcW w:w="2934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Colli et al. (2018)</w:t>
            </w:r>
          </w:p>
        </w:tc>
        <w:tc>
          <w:tcPr>
            <w:tcW w:w="1227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Yes</w:t>
            </w:r>
          </w:p>
        </w:tc>
        <w:tc>
          <w:tcPr>
            <w:tcW w:w="521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x</w:t>
            </w:r>
          </w:p>
        </w:tc>
        <w:tc>
          <w:tcPr>
            <w:tcW w:w="502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-</w:t>
            </w:r>
          </w:p>
        </w:tc>
        <w:tc>
          <w:tcPr>
            <w:tcW w:w="50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-</w:t>
            </w:r>
          </w:p>
        </w:tc>
        <w:tc>
          <w:tcPr>
            <w:tcW w:w="2924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Industry 4.0</w:t>
            </w:r>
          </w:p>
        </w:tc>
      </w:tr>
      <w:tr>
        <w:trPr>
          <w:trHeight w:val="454" w:hRule="atLeast"/>
        </w:trPr>
        <w:tc>
          <w:tcPr>
            <w:tcW w:w="44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6</w:t>
            </w:r>
          </w:p>
        </w:tc>
        <w:tc>
          <w:tcPr>
            <w:tcW w:w="2934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Ehrensperger et al. (2023)</w:t>
            </w:r>
          </w:p>
        </w:tc>
        <w:tc>
          <w:tcPr>
            <w:tcW w:w="1227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Yes</w:t>
            </w:r>
          </w:p>
        </w:tc>
        <w:tc>
          <w:tcPr>
            <w:tcW w:w="521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x</w:t>
            </w:r>
          </w:p>
        </w:tc>
        <w:tc>
          <w:tcPr>
            <w:tcW w:w="502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-</w:t>
            </w:r>
          </w:p>
        </w:tc>
        <w:tc>
          <w:tcPr>
            <w:tcW w:w="50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-</w:t>
            </w:r>
          </w:p>
        </w:tc>
        <w:tc>
          <w:tcPr>
            <w:tcW w:w="2924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Digital business ecosystems</w:t>
            </w:r>
          </w:p>
        </w:tc>
      </w:tr>
      <w:tr>
        <w:trPr>
          <w:trHeight w:val="454" w:hRule="atLeast"/>
        </w:trPr>
        <w:tc>
          <w:tcPr>
            <w:tcW w:w="44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7</w:t>
            </w:r>
          </w:p>
        </w:tc>
        <w:tc>
          <w:tcPr>
            <w:tcW w:w="2934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Gökalp and Martinez (2021)</w:t>
            </w:r>
          </w:p>
        </w:tc>
        <w:tc>
          <w:tcPr>
            <w:tcW w:w="1227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Yes</w:t>
            </w:r>
          </w:p>
        </w:tc>
        <w:tc>
          <w:tcPr>
            <w:tcW w:w="521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x</w:t>
            </w:r>
          </w:p>
        </w:tc>
        <w:tc>
          <w:tcPr>
            <w:tcW w:w="502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-</w:t>
            </w:r>
          </w:p>
        </w:tc>
        <w:tc>
          <w:tcPr>
            <w:tcW w:w="50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-</w:t>
            </w:r>
          </w:p>
        </w:tc>
        <w:tc>
          <w:tcPr>
            <w:tcW w:w="2924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Manufacturing industry</w:t>
            </w:r>
          </w:p>
        </w:tc>
      </w:tr>
      <w:tr>
        <w:trPr>
          <w:trHeight w:val="454" w:hRule="atLeast"/>
        </w:trPr>
        <w:tc>
          <w:tcPr>
            <w:tcW w:w="44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8</w:t>
            </w:r>
          </w:p>
        </w:tc>
        <w:tc>
          <w:tcPr>
            <w:tcW w:w="2934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Gökalp and Martinez (2022)</w:t>
            </w:r>
          </w:p>
        </w:tc>
        <w:tc>
          <w:tcPr>
            <w:tcW w:w="1227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Yes</w:t>
            </w:r>
          </w:p>
        </w:tc>
        <w:tc>
          <w:tcPr>
            <w:tcW w:w="521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x</w:t>
            </w:r>
          </w:p>
        </w:tc>
        <w:tc>
          <w:tcPr>
            <w:tcW w:w="502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-</w:t>
            </w:r>
          </w:p>
        </w:tc>
        <w:tc>
          <w:tcPr>
            <w:tcW w:w="50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-</w:t>
            </w:r>
          </w:p>
        </w:tc>
        <w:tc>
          <w:tcPr>
            <w:tcW w:w="2924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-</w:t>
            </w:r>
          </w:p>
        </w:tc>
      </w:tr>
      <w:tr>
        <w:trPr>
          <w:trHeight w:val="454" w:hRule="atLeast"/>
        </w:trPr>
        <w:tc>
          <w:tcPr>
            <w:tcW w:w="44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9</w:t>
            </w:r>
          </w:p>
        </w:tc>
        <w:tc>
          <w:tcPr>
            <w:tcW w:w="2934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Gökalp et al. (2022)</w:t>
            </w:r>
          </w:p>
        </w:tc>
        <w:tc>
          <w:tcPr>
            <w:tcW w:w="1227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Yes</w:t>
            </w:r>
          </w:p>
        </w:tc>
        <w:tc>
          <w:tcPr>
            <w:tcW w:w="521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x</w:t>
            </w:r>
          </w:p>
        </w:tc>
        <w:tc>
          <w:tcPr>
            <w:tcW w:w="502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-</w:t>
            </w:r>
          </w:p>
        </w:tc>
        <w:tc>
          <w:tcPr>
            <w:tcW w:w="50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-</w:t>
            </w:r>
          </w:p>
        </w:tc>
        <w:tc>
          <w:tcPr>
            <w:tcW w:w="2924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Data science</w:t>
            </w:r>
          </w:p>
        </w:tc>
      </w:tr>
      <w:tr>
        <w:trPr>
          <w:trHeight w:val="454" w:hRule="atLeast"/>
        </w:trPr>
        <w:tc>
          <w:tcPr>
            <w:tcW w:w="44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10</w:t>
            </w:r>
          </w:p>
        </w:tc>
        <w:tc>
          <w:tcPr>
            <w:tcW w:w="2934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Gollhardt et al. (2020)</w:t>
            </w:r>
          </w:p>
        </w:tc>
        <w:tc>
          <w:tcPr>
            <w:tcW w:w="1227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Partially</w:t>
            </w:r>
          </w:p>
        </w:tc>
        <w:tc>
          <w:tcPr>
            <w:tcW w:w="521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x</w:t>
            </w:r>
          </w:p>
        </w:tc>
        <w:tc>
          <w:tcPr>
            <w:tcW w:w="502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-</w:t>
            </w:r>
          </w:p>
        </w:tc>
        <w:tc>
          <w:tcPr>
            <w:tcW w:w="50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-</w:t>
            </w:r>
          </w:p>
        </w:tc>
        <w:tc>
          <w:tcPr>
            <w:tcW w:w="2924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IT industry</w:t>
            </w:r>
          </w:p>
        </w:tc>
      </w:tr>
      <w:tr>
        <w:trPr>
          <w:trHeight w:val="454" w:hRule="atLeast"/>
        </w:trPr>
        <w:tc>
          <w:tcPr>
            <w:tcW w:w="44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11</w:t>
            </w:r>
          </w:p>
        </w:tc>
        <w:tc>
          <w:tcPr>
            <w:tcW w:w="2934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Goumeh and Barforoush (2021)</w:t>
            </w:r>
          </w:p>
        </w:tc>
        <w:tc>
          <w:tcPr>
            <w:tcW w:w="1227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Partially</w:t>
            </w:r>
          </w:p>
        </w:tc>
        <w:tc>
          <w:tcPr>
            <w:tcW w:w="521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x</w:t>
            </w:r>
          </w:p>
        </w:tc>
        <w:tc>
          <w:tcPr>
            <w:tcW w:w="502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-</w:t>
            </w:r>
          </w:p>
        </w:tc>
        <w:tc>
          <w:tcPr>
            <w:tcW w:w="50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-</w:t>
            </w:r>
          </w:p>
        </w:tc>
        <w:tc>
          <w:tcPr>
            <w:tcW w:w="2924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Banking industry</w:t>
            </w:r>
          </w:p>
        </w:tc>
      </w:tr>
      <w:tr>
        <w:trPr>
          <w:trHeight w:val="454" w:hRule="atLeast"/>
        </w:trPr>
        <w:tc>
          <w:tcPr>
            <w:tcW w:w="44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12</w:t>
            </w:r>
          </w:p>
        </w:tc>
        <w:tc>
          <w:tcPr>
            <w:tcW w:w="2934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Hein-Pensel et al. (2023)</w:t>
            </w:r>
          </w:p>
        </w:tc>
        <w:tc>
          <w:tcPr>
            <w:tcW w:w="1227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-</w:t>
            </w:r>
          </w:p>
        </w:tc>
        <w:tc>
          <w:tcPr>
            <w:tcW w:w="521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x</w:t>
            </w:r>
          </w:p>
        </w:tc>
        <w:tc>
          <w:tcPr>
            <w:tcW w:w="502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-</w:t>
            </w:r>
          </w:p>
        </w:tc>
        <w:tc>
          <w:tcPr>
            <w:tcW w:w="50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-</w:t>
            </w:r>
          </w:p>
        </w:tc>
        <w:tc>
          <w:tcPr>
            <w:tcW w:w="2924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Industry 4.0</w:t>
            </w:r>
          </w:p>
        </w:tc>
      </w:tr>
      <w:tr>
        <w:trPr>
          <w:trHeight w:val="454" w:hRule="atLeast"/>
        </w:trPr>
        <w:tc>
          <w:tcPr>
            <w:tcW w:w="44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13</w:t>
            </w:r>
          </w:p>
        </w:tc>
        <w:tc>
          <w:tcPr>
            <w:tcW w:w="2934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Hortovanyi et al. (2023)</w:t>
            </w:r>
          </w:p>
        </w:tc>
        <w:tc>
          <w:tcPr>
            <w:tcW w:w="1227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Yes</w:t>
            </w:r>
          </w:p>
        </w:tc>
        <w:tc>
          <w:tcPr>
            <w:tcW w:w="521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x</w:t>
            </w:r>
          </w:p>
        </w:tc>
        <w:tc>
          <w:tcPr>
            <w:tcW w:w="502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-</w:t>
            </w:r>
          </w:p>
        </w:tc>
        <w:tc>
          <w:tcPr>
            <w:tcW w:w="50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-</w:t>
            </w:r>
          </w:p>
        </w:tc>
        <w:tc>
          <w:tcPr>
            <w:tcW w:w="2924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DT in business-to-business organizations</w:t>
            </w:r>
          </w:p>
        </w:tc>
      </w:tr>
      <w:tr>
        <w:trPr>
          <w:trHeight w:val="454" w:hRule="atLeast"/>
        </w:trPr>
        <w:tc>
          <w:tcPr>
            <w:tcW w:w="44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14</w:t>
            </w:r>
          </w:p>
        </w:tc>
        <w:tc>
          <w:tcPr>
            <w:tcW w:w="2934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Kırmızı and Kocaoglu (2022)</w:t>
            </w:r>
          </w:p>
        </w:tc>
        <w:tc>
          <w:tcPr>
            <w:tcW w:w="1227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Yes</w:t>
            </w:r>
          </w:p>
        </w:tc>
        <w:tc>
          <w:tcPr>
            <w:tcW w:w="521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x</w:t>
            </w:r>
          </w:p>
        </w:tc>
        <w:tc>
          <w:tcPr>
            <w:tcW w:w="502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-</w:t>
            </w:r>
          </w:p>
        </w:tc>
        <w:tc>
          <w:tcPr>
            <w:tcW w:w="50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-</w:t>
            </w:r>
          </w:p>
        </w:tc>
        <w:tc>
          <w:tcPr>
            <w:tcW w:w="2924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Manufacturing industry</w:t>
            </w:r>
          </w:p>
        </w:tc>
      </w:tr>
      <w:tr>
        <w:trPr>
          <w:trHeight w:val="454" w:hRule="atLeast"/>
        </w:trPr>
        <w:tc>
          <w:tcPr>
            <w:tcW w:w="44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15</w:t>
            </w:r>
          </w:p>
        </w:tc>
        <w:tc>
          <w:tcPr>
            <w:tcW w:w="2934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Kıyıklık et al. (2022)</w:t>
            </w:r>
          </w:p>
        </w:tc>
        <w:tc>
          <w:tcPr>
            <w:tcW w:w="1227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-</w:t>
            </w:r>
          </w:p>
        </w:tc>
        <w:tc>
          <w:tcPr>
            <w:tcW w:w="521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x</w:t>
            </w:r>
          </w:p>
        </w:tc>
        <w:tc>
          <w:tcPr>
            <w:tcW w:w="502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-</w:t>
            </w:r>
          </w:p>
        </w:tc>
        <w:tc>
          <w:tcPr>
            <w:tcW w:w="50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-</w:t>
            </w:r>
          </w:p>
        </w:tc>
        <w:tc>
          <w:tcPr>
            <w:tcW w:w="2924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Airline industry</w:t>
            </w:r>
          </w:p>
        </w:tc>
      </w:tr>
      <w:tr>
        <w:trPr>
          <w:trHeight w:val="454" w:hRule="atLeast"/>
        </w:trPr>
        <w:tc>
          <w:tcPr>
            <w:tcW w:w="44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16</w:t>
            </w:r>
          </w:p>
        </w:tc>
        <w:tc>
          <w:tcPr>
            <w:tcW w:w="2934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Li (2022)</w:t>
            </w:r>
          </w:p>
        </w:tc>
        <w:tc>
          <w:tcPr>
            <w:tcW w:w="1227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Partially</w:t>
            </w:r>
          </w:p>
        </w:tc>
        <w:tc>
          <w:tcPr>
            <w:tcW w:w="521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x</w:t>
            </w:r>
          </w:p>
        </w:tc>
        <w:tc>
          <w:tcPr>
            <w:tcW w:w="502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-</w:t>
            </w:r>
          </w:p>
        </w:tc>
        <w:tc>
          <w:tcPr>
            <w:tcW w:w="50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-</w:t>
            </w:r>
          </w:p>
        </w:tc>
        <w:tc>
          <w:tcPr>
            <w:tcW w:w="2924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SME entrepreneurs</w:t>
            </w:r>
          </w:p>
        </w:tc>
      </w:tr>
      <w:tr>
        <w:trPr>
          <w:trHeight w:val="454" w:hRule="atLeast"/>
        </w:trPr>
        <w:tc>
          <w:tcPr>
            <w:tcW w:w="44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17</w:t>
            </w:r>
          </w:p>
        </w:tc>
        <w:tc>
          <w:tcPr>
            <w:tcW w:w="2934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Lin et al. (2020)</w:t>
            </w:r>
          </w:p>
        </w:tc>
        <w:tc>
          <w:tcPr>
            <w:tcW w:w="1227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Yes</w:t>
            </w:r>
          </w:p>
        </w:tc>
        <w:tc>
          <w:tcPr>
            <w:tcW w:w="521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x</w:t>
            </w:r>
          </w:p>
        </w:tc>
        <w:tc>
          <w:tcPr>
            <w:tcW w:w="502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-</w:t>
            </w:r>
          </w:p>
        </w:tc>
        <w:tc>
          <w:tcPr>
            <w:tcW w:w="50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-</w:t>
            </w:r>
          </w:p>
        </w:tc>
        <w:tc>
          <w:tcPr>
            <w:tcW w:w="2924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Manufacturing industry</w:t>
            </w:r>
          </w:p>
        </w:tc>
      </w:tr>
      <w:tr>
        <w:trPr>
          <w:trHeight w:val="454" w:hRule="atLeast"/>
        </w:trPr>
        <w:tc>
          <w:tcPr>
            <w:tcW w:w="44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18</w:t>
            </w:r>
          </w:p>
        </w:tc>
        <w:tc>
          <w:tcPr>
            <w:tcW w:w="2934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Nebati et al. (2023)</w:t>
            </w:r>
          </w:p>
        </w:tc>
        <w:tc>
          <w:tcPr>
            <w:tcW w:w="1227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Partially</w:t>
            </w:r>
          </w:p>
        </w:tc>
        <w:tc>
          <w:tcPr>
            <w:tcW w:w="521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x</w:t>
            </w:r>
          </w:p>
        </w:tc>
        <w:tc>
          <w:tcPr>
            <w:tcW w:w="502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-</w:t>
            </w:r>
          </w:p>
        </w:tc>
        <w:tc>
          <w:tcPr>
            <w:tcW w:w="50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-</w:t>
            </w:r>
          </w:p>
        </w:tc>
        <w:tc>
          <w:tcPr>
            <w:tcW w:w="2924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Defense industry</w:t>
            </w:r>
          </w:p>
        </w:tc>
      </w:tr>
      <w:tr>
        <w:trPr>
          <w:trHeight w:val="454" w:hRule="atLeast"/>
        </w:trPr>
        <w:tc>
          <w:tcPr>
            <w:tcW w:w="44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19</w:t>
            </w:r>
          </w:p>
        </w:tc>
        <w:tc>
          <w:tcPr>
            <w:tcW w:w="2934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Nerima and Ralyté (2021)</w:t>
            </w:r>
          </w:p>
        </w:tc>
        <w:tc>
          <w:tcPr>
            <w:tcW w:w="1227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Partially</w:t>
            </w:r>
          </w:p>
        </w:tc>
        <w:tc>
          <w:tcPr>
            <w:tcW w:w="521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x</w:t>
            </w:r>
          </w:p>
        </w:tc>
        <w:tc>
          <w:tcPr>
            <w:tcW w:w="502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-</w:t>
            </w:r>
          </w:p>
        </w:tc>
        <w:tc>
          <w:tcPr>
            <w:tcW w:w="50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-</w:t>
            </w:r>
          </w:p>
        </w:tc>
        <w:tc>
          <w:tcPr>
            <w:tcW w:w="2924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Public organizations</w:t>
            </w:r>
          </w:p>
        </w:tc>
      </w:tr>
      <w:tr>
        <w:trPr>
          <w:trHeight w:val="454" w:hRule="atLeast"/>
        </w:trPr>
        <w:tc>
          <w:tcPr>
            <w:tcW w:w="44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20</w:t>
            </w:r>
          </w:p>
        </w:tc>
        <w:tc>
          <w:tcPr>
            <w:tcW w:w="2934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Sándor and Gubán (2022)</w:t>
            </w:r>
          </w:p>
        </w:tc>
        <w:tc>
          <w:tcPr>
            <w:tcW w:w="1227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-</w:t>
            </w:r>
          </w:p>
        </w:tc>
        <w:tc>
          <w:tcPr>
            <w:tcW w:w="521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x</w:t>
            </w:r>
          </w:p>
        </w:tc>
        <w:tc>
          <w:tcPr>
            <w:tcW w:w="502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-</w:t>
            </w:r>
          </w:p>
        </w:tc>
        <w:tc>
          <w:tcPr>
            <w:tcW w:w="50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-</w:t>
            </w:r>
          </w:p>
        </w:tc>
        <w:tc>
          <w:tcPr>
            <w:tcW w:w="2924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SME</w:t>
            </w:r>
          </w:p>
        </w:tc>
      </w:tr>
      <w:tr>
        <w:trPr>
          <w:trHeight w:val="454" w:hRule="atLeast"/>
        </w:trPr>
        <w:tc>
          <w:tcPr>
            <w:tcW w:w="44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21</w:t>
            </w:r>
          </w:p>
        </w:tc>
        <w:tc>
          <w:tcPr>
            <w:tcW w:w="2934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Santos and Martinho (2020)</w:t>
            </w:r>
          </w:p>
        </w:tc>
        <w:tc>
          <w:tcPr>
            <w:tcW w:w="1227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Yes</w:t>
            </w:r>
          </w:p>
        </w:tc>
        <w:tc>
          <w:tcPr>
            <w:tcW w:w="521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x</w:t>
            </w:r>
          </w:p>
        </w:tc>
        <w:tc>
          <w:tcPr>
            <w:tcW w:w="502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-</w:t>
            </w:r>
          </w:p>
        </w:tc>
        <w:tc>
          <w:tcPr>
            <w:tcW w:w="50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-</w:t>
            </w:r>
          </w:p>
        </w:tc>
        <w:tc>
          <w:tcPr>
            <w:tcW w:w="2924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Industry 4.0</w:t>
            </w:r>
          </w:p>
        </w:tc>
      </w:tr>
      <w:tr>
        <w:trPr>
          <w:trHeight w:val="454" w:hRule="atLeast"/>
        </w:trPr>
        <w:tc>
          <w:tcPr>
            <w:tcW w:w="44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22</w:t>
            </w:r>
          </w:p>
        </w:tc>
        <w:tc>
          <w:tcPr>
            <w:tcW w:w="2934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Schumacher et al. (2019)</w:t>
            </w:r>
          </w:p>
        </w:tc>
        <w:tc>
          <w:tcPr>
            <w:tcW w:w="1227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Partially</w:t>
            </w:r>
          </w:p>
        </w:tc>
        <w:tc>
          <w:tcPr>
            <w:tcW w:w="521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x</w:t>
            </w:r>
          </w:p>
        </w:tc>
        <w:tc>
          <w:tcPr>
            <w:tcW w:w="502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-</w:t>
            </w:r>
          </w:p>
        </w:tc>
        <w:tc>
          <w:tcPr>
            <w:tcW w:w="50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-</w:t>
            </w:r>
          </w:p>
        </w:tc>
        <w:tc>
          <w:tcPr>
            <w:tcW w:w="2924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Industry 4.0</w:t>
            </w:r>
          </w:p>
        </w:tc>
      </w:tr>
      <w:tr>
        <w:trPr>
          <w:trHeight w:val="454" w:hRule="atLeast"/>
        </w:trPr>
        <w:tc>
          <w:tcPr>
            <w:tcW w:w="44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23</w:t>
            </w:r>
          </w:p>
        </w:tc>
        <w:tc>
          <w:tcPr>
            <w:tcW w:w="2934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Sjödin et al. (2018)</w:t>
            </w:r>
          </w:p>
        </w:tc>
        <w:tc>
          <w:tcPr>
            <w:tcW w:w="1227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Yes</w:t>
            </w:r>
          </w:p>
        </w:tc>
        <w:tc>
          <w:tcPr>
            <w:tcW w:w="521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x</w:t>
            </w:r>
          </w:p>
        </w:tc>
        <w:tc>
          <w:tcPr>
            <w:tcW w:w="502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-</w:t>
            </w:r>
          </w:p>
        </w:tc>
        <w:tc>
          <w:tcPr>
            <w:tcW w:w="50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-</w:t>
            </w:r>
          </w:p>
        </w:tc>
        <w:tc>
          <w:tcPr>
            <w:tcW w:w="2924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Industry 4.0</w:t>
            </w:r>
          </w:p>
        </w:tc>
      </w:tr>
      <w:tr>
        <w:trPr>
          <w:trHeight w:val="454" w:hRule="atLeast"/>
        </w:trPr>
        <w:tc>
          <w:tcPr>
            <w:tcW w:w="44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24</w:t>
            </w:r>
          </w:p>
        </w:tc>
        <w:tc>
          <w:tcPr>
            <w:tcW w:w="2934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Spaltini et al. (2022)</w:t>
            </w:r>
          </w:p>
        </w:tc>
        <w:tc>
          <w:tcPr>
            <w:tcW w:w="1227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-</w:t>
            </w:r>
          </w:p>
        </w:tc>
        <w:tc>
          <w:tcPr>
            <w:tcW w:w="521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x</w:t>
            </w:r>
          </w:p>
        </w:tc>
        <w:tc>
          <w:tcPr>
            <w:tcW w:w="502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-</w:t>
            </w:r>
          </w:p>
        </w:tc>
        <w:tc>
          <w:tcPr>
            <w:tcW w:w="50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-</w:t>
            </w:r>
          </w:p>
        </w:tc>
        <w:tc>
          <w:tcPr>
            <w:tcW w:w="2924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Industry 4.0</w:t>
            </w:r>
          </w:p>
        </w:tc>
      </w:tr>
      <w:tr>
        <w:trPr>
          <w:trHeight w:val="454" w:hRule="atLeast"/>
        </w:trPr>
        <w:tc>
          <w:tcPr>
            <w:tcW w:w="449" w:type="dxa"/>
            <w:tcBorders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25</w:t>
            </w:r>
          </w:p>
        </w:tc>
        <w:tc>
          <w:tcPr>
            <w:tcW w:w="2934" w:type="dxa"/>
            <w:tcBorders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Steinlechner et al. (2021)</w:t>
            </w:r>
          </w:p>
        </w:tc>
        <w:tc>
          <w:tcPr>
            <w:tcW w:w="1227" w:type="dxa"/>
            <w:tcBorders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-</w:t>
            </w:r>
          </w:p>
        </w:tc>
        <w:tc>
          <w:tcPr>
            <w:tcW w:w="521" w:type="dxa"/>
            <w:tcBorders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x</w:t>
            </w:r>
          </w:p>
        </w:tc>
        <w:tc>
          <w:tcPr>
            <w:tcW w:w="502" w:type="dxa"/>
            <w:tcBorders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-</w:t>
            </w:r>
          </w:p>
        </w:tc>
        <w:tc>
          <w:tcPr>
            <w:tcW w:w="509" w:type="dxa"/>
            <w:tcBorders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-</w:t>
            </w:r>
          </w:p>
        </w:tc>
        <w:tc>
          <w:tcPr>
            <w:tcW w:w="2924" w:type="dxa"/>
            <w:tcBorders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Industrial enterprises; employees' digital skills</w:t>
            </w:r>
          </w:p>
        </w:tc>
      </w:tr>
      <w:tr>
        <w:trPr>
          <w:trHeight w:val="454" w:hRule="atLeast"/>
        </w:trPr>
        <w:tc>
          <w:tcPr>
            <w:tcW w:w="44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26</w:t>
            </w:r>
          </w:p>
        </w:tc>
        <w:tc>
          <w:tcPr>
            <w:tcW w:w="2934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Zaoui and Souissi (2022)</w:t>
            </w:r>
          </w:p>
        </w:tc>
        <w:tc>
          <w:tcPr>
            <w:tcW w:w="1227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No</w:t>
            </w:r>
          </w:p>
        </w:tc>
        <w:tc>
          <w:tcPr>
            <w:tcW w:w="521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x</w:t>
            </w:r>
          </w:p>
        </w:tc>
        <w:tc>
          <w:tcPr>
            <w:tcW w:w="502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-</w:t>
            </w:r>
          </w:p>
        </w:tc>
        <w:tc>
          <w:tcPr>
            <w:tcW w:w="50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-</w:t>
            </w:r>
          </w:p>
        </w:tc>
        <w:tc>
          <w:tcPr>
            <w:tcW w:w="2924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Human resource management</w:t>
            </w:r>
          </w:p>
        </w:tc>
      </w:tr>
      <w:tr>
        <w:trPr>
          <w:trHeight w:val="454" w:hRule="atLeast"/>
        </w:trPr>
        <w:tc>
          <w:tcPr>
            <w:tcW w:w="44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27</w:t>
            </w:r>
          </w:p>
        </w:tc>
        <w:tc>
          <w:tcPr>
            <w:tcW w:w="2934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Sari et al. (2021)</w:t>
            </w:r>
          </w:p>
        </w:tc>
        <w:tc>
          <w:tcPr>
            <w:tcW w:w="1227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No</w:t>
            </w:r>
          </w:p>
        </w:tc>
        <w:tc>
          <w:tcPr>
            <w:tcW w:w="521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-</w:t>
            </w:r>
          </w:p>
        </w:tc>
        <w:tc>
          <w:tcPr>
            <w:tcW w:w="502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x</w:t>
            </w:r>
          </w:p>
        </w:tc>
        <w:tc>
          <w:tcPr>
            <w:tcW w:w="50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-</w:t>
            </w:r>
          </w:p>
        </w:tc>
        <w:tc>
          <w:tcPr>
            <w:tcW w:w="2924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Sustainability readiness</w:t>
            </w:r>
          </w:p>
        </w:tc>
      </w:tr>
      <w:tr>
        <w:trPr>
          <w:trHeight w:val="454" w:hRule="atLeast"/>
        </w:trPr>
        <w:tc>
          <w:tcPr>
            <w:tcW w:w="44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28</w:t>
            </w:r>
          </w:p>
        </w:tc>
        <w:tc>
          <w:tcPr>
            <w:tcW w:w="2934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Sohns et al. (2023)</w:t>
            </w:r>
          </w:p>
        </w:tc>
        <w:tc>
          <w:tcPr>
            <w:tcW w:w="1227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No</w:t>
            </w:r>
          </w:p>
        </w:tc>
        <w:tc>
          <w:tcPr>
            <w:tcW w:w="521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-</w:t>
            </w:r>
          </w:p>
        </w:tc>
        <w:tc>
          <w:tcPr>
            <w:tcW w:w="502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x</w:t>
            </w:r>
          </w:p>
        </w:tc>
        <w:tc>
          <w:tcPr>
            <w:tcW w:w="50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-</w:t>
            </w:r>
          </w:p>
        </w:tc>
        <w:tc>
          <w:tcPr>
            <w:tcW w:w="2924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Green business process management</w:t>
            </w:r>
          </w:p>
        </w:tc>
      </w:tr>
      <w:tr>
        <w:trPr>
          <w:trHeight w:val="454" w:hRule="atLeast"/>
        </w:trPr>
        <w:tc>
          <w:tcPr>
            <w:tcW w:w="44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29</w:t>
            </w:r>
          </w:p>
        </w:tc>
        <w:tc>
          <w:tcPr>
            <w:tcW w:w="2934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Uhrenholt et al. (2022)</w:t>
            </w:r>
          </w:p>
        </w:tc>
        <w:tc>
          <w:tcPr>
            <w:tcW w:w="1227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Yes</w:t>
            </w:r>
          </w:p>
        </w:tc>
        <w:tc>
          <w:tcPr>
            <w:tcW w:w="521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-</w:t>
            </w:r>
          </w:p>
        </w:tc>
        <w:tc>
          <w:tcPr>
            <w:tcW w:w="502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x</w:t>
            </w:r>
          </w:p>
        </w:tc>
        <w:tc>
          <w:tcPr>
            <w:tcW w:w="50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-</w:t>
            </w:r>
          </w:p>
        </w:tc>
        <w:tc>
          <w:tcPr>
            <w:tcW w:w="2924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Circular economy</w:t>
            </w:r>
          </w:p>
        </w:tc>
      </w:tr>
      <w:tr>
        <w:trPr>
          <w:trHeight w:val="454" w:hRule="atLeast"/>
        </w:trPr>
        <w:tc>
          <w:tcPr>
            <w:tcW w:w="44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30</w:t>
            </w:r>
          </w:p>
        </w:tc>
        <w:tc>
          <w:tcPr>
            <w:tcW w:w="2934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Vásquez et al. (2021)</w:t>
            </w:r>
          </w:p>
        </w:tc>
        <w:tc>
          <w:tcPr>
            <w:tcW w:w="1227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Yes</w:t>
            </w:r>
          </w:p>
        </w:tc>
        <w:tc>
          <w:tcPr>
            <w:tcW w:w="521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-</w:t>
            </w:r>
          </w:p>
        </w:tc>
        <w:tc>
          <w:tcPr>
            <w:tcW w:w="502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x</w:t>
            </w:r>
          </w:p>
        </w:tc>
        <w:tc>
          <w:tcPr>
            <w:tcW w:w="50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-</w:t>
            </w:r>
          </w:p>
        </w:tc>
        <w:tc>
          <w:tcPr>
            <w:tcW w:w="2924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SME; Environmental sustainability</w:t>
            </w:r>
          </w:p>
        </w:tc>
      </w:tr>
      <w:tr>
        <w:trPr>
          <w:trHeight w:val="454" w:hRule="atLeast"/>
        </w:trPr>
        <w:tc>
          <w:tcPr>
            <w:tcW w:w="44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31</w:t>
            </w:r>
          </w:p>
        </w:tc>
        <w:tc>
          <w:tcPr>
            <w:tcW w:w="2934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Witek-Crabb (2019)</w:t>
            </w:r>
          </w:p>
        </w:tc>
        <w:tc>
          <w:tcPr>
            <w:tcW w:w="1227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Partially</w:t>
            </w:r>
          </w:p>
        </w:tc>
        <w:tc>
          <w:tcPr>
            <w:tcW w:w="521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-</w:t>
            </w:r>
          </w:p>
        </w:tc>
        <w:tc>
          <w:tcPr>
            <w:tcW w:w="502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x</w:t>
            </w:r>
          </w:p>
        </w:tc>
        <w:tc>
          <w:tcPr>
            <w:tcW w:w="50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-</w:t>
            </w:r>
          </w:p>
        </w:tc>
        <w:tc>
          <w:tcPr>
            <w:tcW w:w="2924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CSR; listed companies</w:t>
            </w:r>
          </w:p>
        </w:tc>
      </w:tr>
      <w:tr>
        <w:trPr>
          <w:trHeight w:val="454" w:hRule="atLeast"/>
        </w:trPr>
        <w:tc>
          <w:tcPr>
            <w:tcW w:w="44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32</w:t>
            </w:r>
          </w:p>
        </w:tc>
        <w:tc>
          <w:tcPr>
            <w:tcW w:w="2934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Eisner et al. (2022)</w:t>
            </w:r>
          </w:p>
        </w:tc>
        <w:tc>
          <w:tcPr>
            <w:tcW w:w="1227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Partially</w:t>
            </w:r>
          </w:p>
        </w:tc>
        <w:tc>
          <w:tcPr>
            <w:tcW w:w="521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-</w:t>
            </w:r>
          </w:p>
        </w:tc>
        <w:tc>
          <w:tcPr>
            <w:tcW w:w="502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-</w:t>
            </w:r>
          </w:p>
        </w:tc>
        <w:tc>
          <w:tcPr>
            <w:tcW w:w="50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x</w:t>
            </w:r>
          </w:p>
        </w:tc>
        <w:tc>
          <w:tcPr>
            <w:tcW w:w="2924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Environmental ST</w:t>
            </w:r>
          </w:p>
        </w:tc>
      </w:tr>
      <w:tr>
        <w:trPr>
          <w:trHeight w:val="454" w:hRule="atLeast"/>
        </w:trPr>
        <w:tc>
          <w:tcPr>
            <w:tcW w:w="44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33</w:t>
            </w:r>
          </w:p>
        </w:tc>
        <w:tc>
          <w:tcPr>
            <w:tcW w:w="2934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Kayikci et al. (2022)</w:t>
            </w:r>
          </w:p>
        </w:tc>
        <w:tc>
          <w:tcPr>
            <w:tcW w:w="1227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Partially</w:t>
            </w:r>
          </w:p>
        </w:tc>
        <w:tc>
          <w:tcPr>
            <w:tcW w:w="521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-</w:t>
            </w:r>
          </w:p>
        </w:tc>
        <w:tc>
          <w:tcPr>
            <w:tcW w:w="502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-</w:t>
            </w:r>
          </w:p>
        </w:tc>
        <w:tc>
          <w:tcPr>
            <w:tcW w:w="50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x</w:t>
            </w:r>
          </w:p>
        </w:tc>
        <w:tc>
          <w:tcPr>
            <w:tcW w:w="2924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Circular economy; Industry 4.0</w:t>
            </w:r>
          </w:p>
        </w:tc>
      </w:tr>
      <w:tr>
        <w:trPr>
          <w:trHeight w:val="454" w:hRule="atLeast"/>
        </w:trPr>
        <w:tc>
          <w:tcPr>
            <w:tcW w:w="449" w:type="dxa"/>
            <w:tcBorders>
              <w:bottom w:val="single" w:sz="12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34</w:t>
            </w:r>
          </w:p>
        </w:tc>
        <w:tc>
          <w:tcPr>
            <w:tcW w:w="2934" w:type="dxa"/>
            <w:tcBorders>
              <w:bottom w:val="single" w:sz="12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Kupilas et al. (2022)</w:t>
            </w:r>
          </w:p>
        </w:tc>
        <w:tc>
          <w:tcPr>
            <w:tcW w:w="1227" w:type="dxa"/>
            <w:tcBorders>
              <w:bottom w:val="single" w:sz="12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-</w:t>
            </w:r>
          </w:p>
        </w:tc>
        <w:tc>
          <w:tcPr>
            <w:tcW w:w="521" w:type="dxa"/>
            <w:tcBorders>
              <w:bottom w:val="single" w:sz="12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-</w:t>
            </w:r>
          </w:p>
        </w:tc>
        <w:tc>
          <w:tcPr>
            <w:tcW w:w="502" w:type="dxa"/>
            <w:tcBorders>
              <w:bottom w:val="single" w:sz="12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-</w:t>
            </w:r>
          </w:p>
        </w:tc>
        <w:tc>
          <w:tcPr>
            <w:tcW w:w="509" w:type="dxa"/>
            <w:tcBorders>
              <w:bottom w:val="single" w:sz="12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x</w:t>
            </w:r>
          </w:p>
        </w:tc>
        <w:tc>
          <w:tcPr>
            <w:tcW w:w="2924" w:type="dxa"/>
            <w:tcBorders>
              <w:bottom w:val="single" w:sz="12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-</w:t>
            </w:r>
          </w:p>
        </w:tc>
      </w:tr>
    </w:tbl>
    <w:p>
      <w:pPr>
        <w:pStyle w:val="Normal"/>
        <w:spacing w:before="200" w:after="200"/>
        <w:rPr>
          <w:rFonts w:ascii="Arial Unicode MS" w:hAnsi="Arial Unicode MS" w:cs="Arial Unicode MS"/>
          <w:i/>
          <w:i/>
          <w:iCs/>
          <w:color w:themeColor="text2" w:val="1F497D"/>
          <w:sz w:val="18"/>
          <w:szCs w:val="18"/>
          <w:lang w:val="en-GB" w:eastAsia="en-GB"/>
        </w:rPr>
      </w:pPr>
      <w:r>
        <w:rPr>
          <w:rFonts w:cs="Arial Unicode MS" w:ascii="Arial Unicode MS" w:hAnsi="Arial Unicode MS"/>
          <w:i/>
          <w:iCs/>
          <w:color w:themeColor="text2" w:val="1F497D"/>
          <w:sz w:val="18"/>
          <w:szCs w:val="18"/>
          <w:lang w:val="en-GB" w:eastAsia="en-GB"/>
        </w:rPr>
        <w:t>Table 6. Existing Maturity Models in the Realm of Digital Transformation and Sustainability Transformation</w:t>
        <w:br/>
        <w:t>(*TT = Twin Transformation)</w:t>
      </w:r>
    </w:p>
    <w:p>
      <w:pPr>
        <w:pStyle w:val="Normal"/>
        <w:rPr>
          <w:rFonts w:ascii="Arial Unicode MS" w:hAnsi="Arial Unicode MS" w:cs="Arial Unicode MS"/>
          <w:i/>
          <w:i/>
          <w:iCs/>
          <w:color w:themeColor="text2" w:val="1F497D"/>
          <w:sz w:val="18"/>
          <w:szCs w:val="18"/>
          <w:lang w:val="en-GB" w:eastAsia="en-GB"/>
        </w:rPr>
      </w:pPr>
      <w:r>
        <w:rPr>
          <w:rFonts w:cs="Arial Unicode MS" w:ascii="Arial Unicode MS" w:hAnsi="Arial Unicode MS"/>
          <w:i/>
          <w:iCs/>
          <w:color w:themeColor="text2" w:val="1F497D"/>
          <w:sz w:val="18"/>
          <w:szCs w:val="18"/>
          <w:lang w:val="en-GB" w:eastAsia="en-GB"/>
        </w:rPr>
      </w:r>
      <w:r>
        <w:br w:type="page"/>
      </w:r>
    </w:p>
    <w:tbl>
      <w:tblPr>
        <w:tblW w:w="906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185"/>
        <w:gridCol w:w="1078"/>
        <w:gridCol w:w="3437"/>
        <w:gridCol w:w="2402"/>
        <w:gridCol w:w="965"/>
      </w:tblGrid>
      <w:tr>
        <w:trPr>
          <w:trHeight w:val="454" w:hRule="atLeast"/>
        </w:trPr>
        <w:tc>
          <w:tcPr>
            <w:tcW w:w="1185" w:type="dxa"/>
            <w:tcBorders>
              <w:top w:val="single" w:sz="12" w:space="0" w:color="000000"/>
              <w:bottom w:val="single" w:sz="12" w:space="0" w:color="000000"/>
            </w:tcBorders>
          </w:tcPr>
          <w:p>
            <w:pPr>
              <w:pStyle w:val="Normal"/>
              <w:pageBreakBefore/>
              <w:spacing w:before="0" w:after="200"/>
              <w:rPr>
                <w:b/>
                <w:bCs/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b/>
                <w:bCs/>
                <w:sz w:val="16"/>
                <w:szCs w:val="16"/>
              </w:rPr>
              <w:t>ID</w:t>
            </w:r>
          </w:p>
        </w:tc>
        <w:tc>
          <w:tcPr>
            <w:tcW w:w="1078" w:type="dxa"/>
            <w:tcBorders>
              <w:top w:val="single" w:sz="12" w:space="0" w:color="000000"/>
              <w:bottom w:val="single" w:sz="12" w:space="0" w:color="000000"/>
            </w:tcBorders>
          </w:tcPr>
          <w:p>
            <w:pPr>
              <w:pStyle w:val="Normal"/>
              <w:spacing w:before="0" w:after="200"/>
              <w:rPr>
                <w:b/>
                <w:bCs/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b/>
                <w:bCs/>
                <w:sz w:val="16"/>
                <w:szCs w:val="16"/>
              </w:rPr>
              <w:t>Gender</w:t>
            </w:r>
          </w:p>
        </w:tc>
        <w:tc>
          <w:tcPr>
            <w:tcW w:w="3437" w:type="dxa"/>
            <w:tcBorders>
              <w:top w:val="single" w:sz="12" w:space="0" w:color="000000"/>
              <w:bottom w:val="single" w:sz="12" w:space="0" w:color="000000"/>
            </w:tcBorders>
          </w:tcPr>
          <w:p>
            <w:pPr>
              <w:pStyle w:val="Normal"/>
              <w:spacing w:before="0" w:after="200"/>
              <w:rPr>
                <w:b/>
                <w:bCs/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b/>
                <w:bCs/>
                <w:sz w:val="16"/>
                <w:szCs w:val="16"/>
              </w:rPr>
              <w:t>Position</w:t>
            </w:r>
          </w:p>
        </w:tc>
        <w:tc>
          <w:tcPr>
            <w:tcW w:w="2402" w:type="dxa"/>
            <w:tcBorders>
              <w:top w:val="single" w:sz="12" w:space="0" w:color="000000"/>
              <w:bottom w:val="single" w:sz="12" w:space="0" w:color="000000"/>
            </w:tcBorders>
          </w:tcPr>
          <w:p>
            <w:pPr>
              <w:pStyle w:val="Normal"/>
              <w:spacing w:before="0" w:after="200"/>
              <w:rPr>
                <w:b/>
                <w:bCs/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b/>
                <w:bCs/>
                <w:sz w:val="16"/>
                <w:szCs w:val="16"/>
              </w:rPr>
              <w:t>Area of business</w:t>
            </w:r>
          </w:p>
        </w:tc>
        <w:tc>
          <w:tcPr>
            <w:tcW w:w="965" w:type="dxa"/>
            <w:tcBorders>
              <w:top w:val="single" w:sz="12" w:space="0" w:color="000000"/>
              <w:bottom w:val="single" w:sz="12" w:space="0" w:color="000000"/>
            </w:tcBorders>
          </w:tcPr>
          <w:p>
            <w:pPr>
              <w:pStyle w:val="Normal"/>
              <w:spacing w:before="0" w:after="200"/>
              <w:rPr>
                <w:b/>
                <w:bCs/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b/>
                <w:bCs/>
                <w:sz w:val="16"/>
                <w:szCs w:val="16"/>
              </w:rPr>
              <w:t>Duration</w:t>
            </w:r>
          </w:p>
        </w:tc>
      </w:tr>
      <w:tr>
        <w:trPr>
          <w:trHeight w:val="454" w:hRule="atLeast"/>
        </w:trPr>
        <w:tc>
          <w:tcPr>
            <w:tcW w:w="1185" w:type="dxa"/>
            <w:tcBorders>
              <w:top w:val="single" w:sz="12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ID1</w:t>
            </w:r>
          </w:p>
        </w:tc>
        <w:tc>
          <w:tcPr>
            <w:tcW w:w="1078" w:type="dxa"/>
            <w:tcBorders>
              <w:top w:val="single" w:sz="12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M</w:t>
            </w:r>
          </w:p>
        </w:tc>
        <w:tc>
          <w:tcPr>
            <w:tcW w:w="3437" w:type="dxa"/>
            <w:tcBorders>
              <w:top w:val="single" w:sz="12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Senior Manager Sustainability</w:t>
            </w:r>
          </w:p>
        </w:tc>
        <w:tc>
          <w:tcPr>
            <w:tcW w:w="2402" w:type="dxa"/>
            <w:tcBorders>
              <w:top w:val="single" w:sz="12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Consulting</w:t>
            </w:r>
          </w:p>
        </w:tc>
        <w:tc>
          <w:tcPr>
            <w:tcW w:w="965" w:type="dxa"/>
            <w:tcBorders>
              <w:top w:val="single" w:sz="12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30:33</w:t>
            </w:r>
          </w:p>
        </w:tc>
      </w:tr>
      <w:tr>
        <w:trPr>
          <w:trHeight w:val="454" w:hRule="atLeast"/>
        </w:trPr>
        <w:tc>
          <w:tcPr>
            <w:tcW w:w="1185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ID2</w:t>
            </w:r>
          </w:p>
        </w:tc>
        <w:tc>
          <w:tcPr>
            <w:tcW w:w="1078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F</w:t>
            </w:r>
          </w:p>
        </w:tc>
        <w:tc>
          <w:tcPr>
            <w:tcW w:w="3437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ST Specialist</w:t>
            </w:r>
          </w:p>
        </w:tc>
        <w:tc>
          <w:tcPr>
            <w:tcW w:w="2402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Public Administration</w:t>
            </w:r>
          </w:p>
        </w:tc>
        <w:tc>
          <w:tcPr>
            <w:tcW w:w="965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30:56</w:t>
            </w:r>
          </w:p>
        </w:tc>
      </w:tr>
      <w:tr>
        <w:trPr>
          <w:trHeight w:val="454" w:hRule="atLeast"/>
        </w:trPr>
        <w:tc>
          <w:tcPr>
            <w:tcW w:w="1185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ID3</w:t>
            </w:r>
          </w:p>
        </w:tc>
        <w:tc>
          <w:tcPr>
            <w:tcW w:w="1078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M</w:t>
            </w:r>
          </w:p>
        </w:tc>
        <w:tc>
          <w:tcPr>
            <w:tcW w:w="3437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Head of Sustainability Management</w:t>
            </w:r>
          </w:p>
        </w:tc>
        <w:tc>
          <w:tcPr>
            <w:tcW w:w="2402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  <w:highlight w:val="yellow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Software</w:t>
            </w:r>
          </w:p>
        </w:tc>
        <w:tc>
          <w:tcPr>
            <w:tcW w:w="965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30:54</w:t>
            </w:r>
          </w:p>
        </w:tc>
      </w:tr>
      <w:tr>
        <w:trPr>
          <w:trHeight w:val="454" w:hRule="atLeast"/>
        </w:trPr>
        <w:tc>
          <w:tcPr>
            <w:tcW w:w="1185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ID4</w:t>
            </w:r>
          </w:p>
        </w:tc>
        <w:tc>
          <w:tcPr>
            <w:tcW w:w="1078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M</w:t>
            </w:r>
          </w:p>
        </w:tc>
        <w:tc>
          <w:tcPr>
            <w:tcW w:w="3437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Senior Manager DT</w:t>
            </w:r>
          </w:p>
        </w:tc>
        <w:tc>
          <w:tcPr>
            <w:tcW w:w="2402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Consulting</w:t>
            </w:r>
          </w:p>
        </w:tc>
        <w:tc>
          <w:tcPr>
            <w:tcW w:w="965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25:50</w:t>
            </w:r>
          </w:p>
        </w:tc>
      </w:tr>
      <w:tr>
        <w:trPr>
          <w:trHeight w:val="454" w:hRule="atLeast"/>
        </w:trPr>
        <w:tc>
          <w:tcPr>
            <w:tcW w:w="1185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ID5</w:t>
            </w:r>
          </w:p>
        </w:tc>
        <w:tc>
          <w:tcPr>
            <w:tcW w:w="1078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M</w:t>
            </w:r>
          </w:p>
        </w:tc>
        <w:tc>
          <w:tcPr>
            <w:tcW w:w="3437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Technology Consultant</w:t>
            </w:r>
          </w:p>
        </w:tc>
        <w:tc>
          <w:tcPr>
            <w:tcW w:w="2402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Consulting</w:t>
            </w:r>
          </w:p>
        </w:tc>
        <w:tc>
          <w:tcPr>
            <w:tcW w:w="965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28:22</w:t>
            </w:r>
          </w:p>
        </w:tc>
      </w:tr>
      <w:tr>
        <w:trPr>
          <w:trHeight w:val="454" w:hRule="atLeast"/>
        </w:trPr>
        <w:tc>
          <w:tcPr>
            <w:tcW w:w="1185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ID6</w:t>
            </w:r>
          </w:p>
        </w:tc>
        <w:tc>
          <w:tcPr>
            <w:tcW w:w="1078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F</w:t>
            </w:r>
          </w:p>
        </w:tc>
        <w:tc>
          <w:tcPr>
            <w:tcW w:w="3437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Sustainability Manager</w:t>
            </w:r>
          </w:p>
        </w:tc>
        <w:tc>
          <w:tcPr>
            <w:tcW w:w="2402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Retail</w:t>
            </w:r>
          </w:p>
        </w:tc>
        <w:tc>
          <w:tcPr>
            <w:tcW w:w="965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60:34</w:t>
            </w:r>
          </w:p>
        </w:tc>
      </w:tr>
      <w:tr>
        <w:trPr>
          <w:trHeight w:val="454" w:hRule="atLeast"/>
        </w:trPr>
        <w:tc>
          <w:tcPr>
            <w:tcW w:w="1185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ID7</w:t>
            </w:r>
          </w:p>
        </w:tc>
        <w:tc>
          <w:tcPr>
            <w:tcW w:w="1078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F</w:t>
            </w:r>
          </w:p>
        </w:tc>
        <w:tc>
          <w:tcPr>
            <w:tcW w:w="3437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Managing Director</w:t>
            </w:r>
          </w:p>
        </w:tc>
        <w:tc>
          <w:tcPr>
            <w:tcW w:w="2402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Consulting</w:t>
            </w:r>
          </w:p>
        </w:tc>
        <w:tc>
          <w:tcPr>
            <w:tcW w:w="965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26:39</w:t>
            </w:r>
          </w:p>
        </w:tc>
      </w:tr>
      <w:tr>
        <w:trPr>
          <w:trHeight w:val="454" w:hRule="atLeast"/>
        </w:trPr>
        <w:tc>
          <w:tcPr>
            <w:tcW w:w="1185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ID8</w:t>
            </w:r>
          </w:p>
        </w:tc>
        <w:tc>
          <w:tcPr>
            <w:tcW w:w="1078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F</w:t>
            </w:r>
          </w:p>
        </w:tc>
        <w:tc>
          <w:tcPr>
            <w:tcW w:w="3437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Sustainability Manager</w:t>
            </w:r>
          </w:p>
        </w:tc>
        <w:tc>
          <w:tcPr>
            <w:tcW w:w="2402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Industry</w:t>
            </w:r>
          </w:p>
        </w:tc>
        <w:tc>
          <w:tcPr>
            <w:tcW w:w="965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29:19</w:t>
            </w:r>
          </w:p>
        </w:tc>
      </w:tr>
      <w:tr>
        <w:trPr>
          <w:trHeight w:val="454" w:hRule="atLeast"/>
        </w:trPr>
        <w:tc>
          <w:tcPr>
            <w:tcW w:w="1185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ID9</w:t>
            </w:r>
          </w:p>
        </w:tc>
        <w:tc>
          <w:tcPr>
            <w:tcW w:w="1078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F</w:t>
            </w:r>
          </w:p>
        </w:tc>
        <w:tc>
          <w:tcPr>
            <w:tcW w:w="3437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Sustainability Specialist</w:t>
            </w:r>
          </w:p>
        </w:tc>
        <w:tc>
          <w:tcPr>
            <w:tcW w:w="2402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Industry</w:t>
            </w:r>
          </w:p>
        </w:tc>
        <w:tc>
          <w:tcPr>
            <w:tcW w:w="965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31:40</w:t>
            </w:r>
          </w:p>
        </w:tc>
      </w:tr>
      <w:tr>
        <w:trPr>
          <w:trHeight w:val="454" w:hRule="atLeast"/>
        </w:trPr>
        <w:tc>
          <w:tcPr>
            <w:tcW w:w="1185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ID10</w:t>
            </w:r>
          </w:p>
        </w:tc>
        <w:tc>
          <w:tcPr>
            <w:tcW w:w="1078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F</w:t>
            </w:r>
          </w:p>
        </w:tc>
        <w:tc>
          <w:tcPr>
            <w:tcW w:w="3437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Sustainability Specialist</w:t>
            </w:r>
          </w:p>
        </w:tc>
        <w:tc>
          <w:tcPr>
            <w:tcW w:w="2402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Industry</w:t>
            </w:r>
          </w:p>
        </w:tc>
        <w:tc>
          <w:tcPr>
            <w:tcW w:w="965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34:31</w:t>
            </w:r>
          </w:p>
        </w:tc>
      </w:tr>
      <w:tr>
        <w:trPr>
          <w:trHeight w:val="454" w:hRule="atLeast"/>
        </w:trPr>
        <w:tc>
          <w:tcPr>
            <w:tcW w:w="1185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ID11</w:t>
            </w:r>
          </w:p>
        </w:tc>
        <w:tc>
          <w:tcPr>
            <w:tcW w:w="1078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M</w:t>
            </w:r>
          </w:p>
        </w:tc>
        <w:tc>
          <w:tcPr>
            <w:tcW w:w="3437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DT Manager</w:t>
            </w:r>
          </w:p>
        </w:tc>
        <w:tc>
          <w:tcPr>
            <w:tcW w:w="2402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Industry</w:t>
            </w:r>
          </w:p>
        </w:tc>
        <w:tc>
          <w:tcPr>
            <w:tcW w:w="965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22:41</w:t>
            </w:r>
          </w:p>
        </w:tc>
      </w:tr>
      <w:tr>
        <w:trPr>
          <w:trHeight w:val="454" w:hRule="atLeast"/>
        </w:trPr>
        <w:tc>
          <w:tcPr>
            <w:tcW w:w="1185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ID12</w:t>
            </w:r>
          </w:p>
        </w:tc>
        <w:tc>
          <w:tcPr>
            <w:tcW w:w="1078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F</w:t>
            </w:r>
          </w:p>
        </w:tc>
        <w:tc>
          <w:tcPr>
            <w:tcW w:w="3437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DT Manager</w:t>
            </w:r>
          </w:p>
        </w:tc>
        <w:tc>
          <w:tcPr>
            <w:tcW w:w="2402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Industry</w:t>
            </w:r>
          </w:p>
        </w:tc>
        <w:tc>
          <w:tcPr>
            <w:tcW w:w="965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26:39</w:t>
            </w:r>
          </w:p>
        </w:tc>
      </w:tr>
      <w:tr>
        <w:trPr>
          <w:trHeight w:val="454" w:hRule="atLeast"/>
        </w:trPr>
        <w:tc>
          <w:tcPr>
            <w:tcW w:w="1185" w:type="dxa"/>
            <w:tcBorders>
              <w:bottom w:val="single" w:sz="12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ID13</w:t>
            </w:r>
          </w:p>
        </w:tc>
        <w:tc>
          <w:tcPr>
            <w:tcW w:w="1078" w:type="dxa"/>
            <w:tcBorders>
              <w:bottom w:val="single" w:sz="12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M</w:t>
            </w:r>
          </w:p>
        </w:tc>
        <w:tc>
          <w:tcPr>
            <w:tcW w:w="3437" w:type="dxa"/>
            <w:tcBorders>
              <w:bottom w:val="single" w:sz="12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DT Specialist</w:t>
            </w:r>
          </w:p>
        </w:tc>
        <w:tc>
          <w:tcPr>
            <w:tcW w:w="2402" w:type="dxa"/>
            <w:tcBorders>
              <w:bottom w:val="single" w:sz="12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Consulting</w:t>
            </w:r>
          </w:p>
        </w:tc>
        <w:tc>
          <w:tcPr>
            <w:tcW w:w="965" w:type="dxa"/>
            <w:tcBorders>
              <w:bottom w:val="single" w:sz="12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22:39</w:t>
            </w:r>
          </w:p>
        </w:tc>
      </w:tr>
    </w:tbl>
    <w:p>
      <w:pPr>
        <w:pStyle w:val="Normal"/>
        <w:spacing w:before="200" w:after="200"/>
        <w:rPr>
          <w:rFonts w:ascii="Arial Unicode MS" w:hAnsi="Arial Unicode MS" w:cs="Arial Unicode MS"/>
          <w:i/>
          <w:i/>
          <w:iCs/>
          <w:color w:themeColor="text2" w:val="1F497D"/>
          <w:sz w:val="18"/>
          <w:szCs w:val="18"/>
          <w:lang w:val="en-GB" w:eastAsia="en-GB"/>
        </w:rPr>
      </w:pPr>
      <w:r>
        <w:rPr>
          <w:rFonts w:cs="Arial Unicode MS" w:ascii="Arial Unicode MS" w:hAnsi="Arial Unicode MS"/>
          <w:i/>
          <w:iCs/>
          <w:color w:themeColor="text2" w:val="1F497D"/>
          <w:sz w:val="18"/>
          <w:szCs w:val="18"/>
          <w:lang w:val="en-GB" w:eastAsia="en-GB"/>
        </w:rPr>
        <w:t>Table 7. Details on Interviewees</w:t>
      </w:r>
    </w:p>
    <w:p>
      <w:pPr>
        <w:pStyle w:val="Normal"/>
        <w:rPr>
          <w:rFonts w:ascii="Arial Unicode MS" w:hAnsi="Arial Unicode MS" w:cs="Arial Unicode MS"/>
          <w:i/>
          <w:i/>
          <w:iCs/>
          <w:color w:themeColor="text2" w:val="1F497D"/>
          <w:sz w:val="18"/>
          <w:szCs w:val="18"/>
          <w:lang w:val="en-GB" w:eastAsia="en-GB"/>
        </w:rPr>
      </w:pPr>
      <w:r>
        <w:rPr>
          <w:rFonts w:cs="Arial Unicode MS" w:ascii="Arial Unicode MS" w:hAnsi="Arial Unicode MS"/>
          <w:i/>
          <w:iCs/>
          <w:color w:themeColor="text2" w:val="1F497D"/>
          <w:sz w:val="18"/>
          <w:szCs w:val="18"/>
          <w:lang w:val="en-GB" w:eastAsia="en-GB"/>
        </w:rPr>
      </w:r>
      <w:r>
        <w:br w:type="page"/>
      </w:r>
    </w:p>
    <w:tbl>
      <w:tblPr>
        <w:tblW w:w="8935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143"/>
        <w:gridCol w:w="3116"/>
        <w:gridCol w:w="1699"/>
        <w:gridCol w:w="2976"/>
      </w:tblGrid>
      <w:tr>
        <w:trPr>
          <w:trHeight w:val="214" w:hRule="atLeast"/>
        </w:trPr>
        <w:tc>
          <w:tcPr>
            <w:tcW w:w="1143" w:type="dxa"/>
            <w:tcBorders>
              <w:top w:val="single" w:sz="12" w:space="0" w:color="000000"/>
              <w:bottom w:val="single" w:sz="12" w:space="0" w:color="000000"/>
            </w:tcBorders>
          </w:tcPr>
          <w:p>
            <w:pPr>
              <w:pStyle w:val="Normal"/>
              <w:pageBreakBefore/>
              <w:spacing w:before="0" w:after="200"/>
              <w:rPr>
                <w:b/>
                <w:bCs/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b/>
                <w:bCs/>
                <w:sz w:val="16"/>
                <w:szCs w:val="16"/>
              </w:rPr>
              <w:t xml:space="preserve">TTCMM </w:t>
              <w:br/>
              <w:t xml:space="preserve">capability </w:t>
              <w:br/>
              <w:t>dimension</w:t>
            </w:r>
          </w:p>
        </w:tc>
        <w:tc>
          <w:tcPr>
            <w:tcW w:w="3116" w:type="dxa"/>
            <w:tcBorders>
              <w:top w:val="single" w:sz="12" w:space="0" w:color="000000"/>
              <w:bottom w:val="single" w:sz="12" w:space="0" w:color="000000"/>
            </w:tcBorders>
          </w:tcPr>
          <w:p>
            <w:pPr>
              <w:pStyle w:val="Normal"/>
              <w:spacing w:before="0" w:after="200"/>
              <w:ind w:right="36"/>
              <w:rPr>
                <w:b/>
                <w:bCs/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b/>
                <w:bCs/>
                <w:sz w:val="16"/>
                <w:szCs w:val="16"/>
              </w:rPr>
              <w:t>Capability</w:t>
            </w:r>
          </w:p>
        </w:tc>
        <w:tc>
          <w:tcPr>
            <w:tcW w:w="1699" w:type="dxa"/>
            <w:tcBorders>
              <w:top w:val="single" w:sz="12" w:space="0" w:color="000000"/>
              <w:bottom w:val="single" w:sz="12" w:space="0" w:color="000000"/>
            </w:tcBorders>
          </w:tcPr>
          <w:p>
            <w:pPr>
              <w:pStyle w:val="Normal"/>
              <w:spacing w:before="0" w:after="200"/>
              <w:rPr>
                <w:b/>
                <w:bCs/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b/>
                <w:bCs/>
                <w:sz w:val="16"/>
                <w:szCs w:val="16"/>
              </w:rPr>
              <w:t xml:space="preserve">Capability capacity* </w:t>
              <w:br/>
              <w:t xml:space="preserve">[sensing, seizing, </w:t>
              <w:br/>
              <w:t>transforming]</w:t>
            </w:r>
          </w:p>
        </w:tc>
        <w:tc>
          <w:tcPr>
            <w:tcW w:w="2976" w:type="dxa"/>
            <w:tcBorders>
              <w:top w:val="single" w:sz="12" w:space="0" w:color="000000"/>
              <w:bottom w:val="single" w:sz="12" w:space="0" w:color="000000"/>
            </w:tcBorders>
          </w:tcPr>
          <w:p>
            <w:pPr>
              <w:pStyle w:val="Normal"/>
              <w:spacing w:before="0" w:after="200"/>
              <w:ind w:left="27"/>
              <w:rPr>
                <w:b/>
                <w:bCs/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b/>
                <w:bCs/>
                <w:sz w:val="16"/>
                <w:szCs w:val="16"/>
              </w:rPr>
              <w:t xml:space="preserve">Literature sources and </w:t>
              <w:br/>
              <w:t>exemplary interview input [ID]</w:t>
            </w:r>
          </w:p>
        </w:tc>
      </w:tr>
      <w:tr>
        <w:trPr>
          <w:trHeight w:val="319" w:hRule="atLeast"/>
        </w:trPr>
        <w:tc>
          <w:tcPr>
            <w:tcW w:w="1143" w:type="dxa"/>
            <w:vMerge w:val="restart"/>
            <w:tcBorders>
              <w:top w:val="single" w:sz="12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 xml:space="preserve">Strategy and </w:t>
              <w:br/>
              <w:t>leadership</w:t>
            </w:r>
          </w:p>
        </w:tc>
        <w:tc>
          <w:tcPr>
            <w:tcW w:w="3116" w:type="dxa"/>
            <w:tcBorders>
              <w:top w:val="single" w:sz="12" w:space="0" w:color="000000"/>
            </w:tcBorders>
            <w:vAlign w:val="center"/>
          </w:tcPr>
          <w:p>
            <w:pPr>
              <w:pStyle w:val="Normal"/>
              <w:spacing w:before="0" w:after="120"/>
              <w:ind w:right="36"/>
              <w:rPr>
                <w:sz w:val="16"/>
                <w:szCs w:val="16"/>
                <w:lang w:eastAsia="de-DE"/>
              </w:rPr>
            </w:pPr>
            <w:r>
              <w:rPr>
                <w:rFonts w:cs="Arial Unicode MS" w:ascii="Arial Unicode MS" w:hAnsi="Arial Unicode MS"/>
                <w:kern w:val="2"/>
                <w:sz w:val="16"/>
                <w:szCs w:val="16"/>
                <w:lang w:eastAsia="de-DE"/>
              </w:rPr>
              <w:t>Understand the economic potential of DT</w:t>
            </w:r>
          </w:p>
        </w:tc>
        <w:tc>
          <w:tcPr>
            <w:tcW w:w="1699" w:type="dxa"/>
            <w:tcBorders>
              <w:top w:val="single" w:sz="12" w:space="0" w:color="000000"/>
            </w:tcBorders>
            <w:vAlign w:val="center"/>
          </w:tcPr>
          <w:p>
            <w:pPr>
              <w:pStyle w:val="Normal"/>
              <w:spacing w:before="0" w:after="200"/>
              <w:ind w:right="36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Sensing</w:t>
            </w:r>
          </w:p>
        </w:tc>
        <w:tc>
          <w:tcPr>
            <w:tcW w:w="2976" w:type="dxa"/>
            <w:tcBorders>
              <w:top w:val="single" w:sz="12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(Nebati et al. 2023)</w:t>
            </w:r>
          </w:p>
        </w:tc>
      </w:tr>
      <w:tr>
        <w:trPr>
          <w:trHeight w:val="174" w:hRule="atLeast"/>
        </w:trPr>
        <w:tc>
          <w:tcPr>
            <w:tcW w:w="1143" w:type="dxa"/>
            <w:vMerge w:val="continue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3116" w:type="dxa"/>
            <w:tcBorders/>
            <w:vAlign w:val="center"/>
          </w:tcPr>
          <w:p>
            <w:pPr>
              <w:pStyle w:val="Normal"/>
              <w:spacing w:before="0" w:after="120"/>
              <w:rPr>
                <w:sz w:val="16"/>
                <w:szCs w:val="16"/>
                <w:lang w:eastAsia="de-DE"/>
              </w:rPr>
            </w:pPr>
            <w:r>
              <w:rPr>
                <w:rFonts w:cs="Arial Unicode MS" w:ascii="Arial Unicode MS" w:hAnsi="Arial Unicode MS"/>
                <w:kern w:val="2"/>
                <w:sz w:val="16"/>
                <w:szCs w:val="16"/>
                <w:lang w:eastAsia="de-DE"/>
              </w:rPr>
              <w:t>Foster the use of digital technologies</w:t>
            </w:r>
          </w:p>
        </w:tc>
        <w:tc>
          <w:tcPr>
            <w:tcW w:w="169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Seizing</w:t>
            </w:r>
          </w:p>
        </w:tc>
        <w:tc>
          <w:tcPr>
            <w:tcW w:w="2976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(Nebati et al. 2023)</w:t>
            </w:r>
          </w:p>
        </w:tc>
      </w:tr>
      <w:tr>
        <w:trPr>
          <w:trHeight w:val="213" w:hRule="atLeast"/>
        </w:trPr>
        <w:tc>
          <w:tcPr>
            <w:tcW w:w="1143" w:type="dxa"/>
            <w:vMerge w:val="continue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3116" w:type="dxa"/>
            <w:tcBorders/>
            <w:vAlign w:val="center"/>
          </w:tcPr>
          <w:p>
            <w:pPr>
              <w:pStyle w:val="Normal"/>
              <w:spacing w:before="0" w:after="200"/>
              <w:contextualSpacing/>
              <w:rPr>
                <w:sz w:val="16"/>
                <w:szCs w:val="16"/>
                <w:lang w:eastAsia="de-DE"/>
              </w:rPr>
            </w:pPr>
            <w:r>
              <w:rPr>
                <w:rFonts w:cs="Arial Unicode MS" w:ascii="Arial Unicode MS" w:hAnsi="Arial Unicode MS"/>
                <w:kern w:val="2"/>
                <w:sz w:val="16"/>
                <w:szCs w:val="16"/>
                <w:lang w:eastAsia="de-DE"/>
              </w:rPr>
              <w:t>Understand sustainability as a must-do</w:t>
            </w:r>
          </w:p>
        </w:tc>
        <w:tc>
          <w:tcPr>
            <w:tcW w:w="169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Sensing</w:t>
            </w:r>
          </w:p>
        </w:tc>
        <w:tc>
          <w:tcPr>
            <w:tcW w:w="2976" w:type="dxa"/>
            <w:tcBorders/>
            <w:vAlign w:val="center"/>
          </w:tcPr>
          <w:p>
            <w:pPr>
              <w:pStyle w:val="Normal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(Yazici 2020)</w:t>
            </w:r>
          </w:p>
          <w:p>
            <w:pPr>
              <w:pStyle w:val="Normal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ID2: Stressed the potential of sustainability as a business opportunity</w:t>
            </w:r>
          </w:p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ID3: Added that sustainability is a must-do and opportunity</w:t>
            </w:r>
          </w:p>
        </w:tc>
      </w:tr>
      <w:tr>
        <w:trPr>
          <w:trHeight w:val="270" w:hRule="atLeast"/>
        </w:trPr>
        <w:tc>
          <w:tcPr>
            <w:tcW w:w="1143" w:type="dxa"/>
            <w:vMerge w:val="continue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3116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kern w:val="2"/>
                <w:sz w:val="16"/>
                <w:szCs w:val="16"/>
                <w:lang w:eastAsia="de-DE"/>
              </w:rPr>
              <w:t>Foster the performance of a life-cycle analysis</w:t>
            </w:r>
          </w:p>
        </w:tc>
        <w:tc>
          <w:tcPr>
            <w:tcW w:w="169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Seizing</w:t>
            </w:r>
          </w:p>
        </w:tc>
        <w:tc>
          <w:tcPr>
            <w:tcW w:w="2976" w:type="dxa"/>
            <w:tcBorders/>
            <w:vAlign w:val="center"/>
          </w:tcPr>
          <w:p>
            <w:pPr>
              <w:pStyle w:val="Normal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(Yazici 2020)</w:t>
            </w:r>
          </w:p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ID9: Stressed the importance of materiality analysis</w:t>
            </w:r>
          </w:p>
        </w:tc>
      </w:tr>
      <w:tr>
        <w:trPr>
          <w:trHeight w:val="151" w:hRule="atLeast"/>
        </w:trPr>
        <w:tc>
          <w:tcPr>
            <w:tcW w:w="1143" w:type="dxa"/>
            <w:vMerge w:val="continue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3116" w:type="dxa"/>
            <w:tcBorders/>
            <w:vAlign w:val="center"/>
          </w:tcPr>
          <w:p>
            <w:pPr>
              <w:pStyle w:val="Normal"/>
              <w:spacing w:before="0" w:after="200"/>
              <w:contextualSpacing/>
              <w:rPr>
                <w:sz w:val="16"/>
                <w:szCs w:val="16"/>
                <w:lang w:eastAsia="de-DE"/>
              </w:rPr>
            </w:pPr>
            <w:r>
              <w:rPr>
                <w:rFonts w:cs="Arial Unicode MS" w:ascii="Arial Unicode MS" w:hAnsi="Arial Unicode MS"/>
                <w:kern w:val="2"/>
                <w:sz w:val="16"/>
                <w:szCs w:val="16"/>
                <w:lang w:eastAsia="de-DE"/>
              </w:rPr>
              <w:t>Develop a twin transformation strategy and derive measurable digitalization and sustainability objectives that are not mutually exclusive</w:t>
            </w:r>
          </w:p>
        </w:tc>
        <w:tc>
          <w:tcPr>
            <w:tcW w:w="169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Transforming</w:t>
            </w:r>
          </w:p>
        </w:tc>
        <w:tc>
          <w:tcPr>
            <w:tcW w:w="2976" w:type="dxa"/>
            <w:tcBorders/>
            <w:vAlign w:val="center"/>
          </w:tcPr>
          <w:p>
            <w:pPr>
              <w:pStyle w:val="Normal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(Aslanova and Kulichkina 2020)</w:t>
            </w:r>
          </w:p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br/>
              <w:t>ID4: Highlighted that not mutually exclusive digitalization and sustainability objectives are relevant</w:t>
            </w:r>
          </w:p>
        </w:tc>
      </w:tr>
      <w:tr>
        <w:trPr>
          <w:trHeight w:val="208" w:hRule="atLeast"/>
        </w:trPr>
        <w:tc>
          <w:tcPr>
            <w:tcW w:w="1143" w:type="dxa"/>
            <w:vMerge w:val="continue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3116" w:type="dxa"/>
            <w:tcBorders/>
            <w:vAlign w:val="center"/>
          </w:tcPr>
          <w:p>
            <w:pPr>
              <w:pStyle w:val="Normal"/>
              <w:spacing w:before="0" w:after="200"/>
              <w:contextualSpacing/>
              <w:rPr>
                <w:sz w:val="16"/>
                <w:szCs w:val="16"/>
                <w:lang w:eastAsia="de-DE"/>
              </w:rPr>
            </w:pPr>
            <w:r>
              <w:rPr>
                <w:rFonts w:cs="Arial Unicode MS" w:ascii="Arial Unicode MS" w:hAnsi="Arial Unicode MS"/>
                <w:kern w:val="2"/>
                <w:sz w:val="16"/>
                <w:szCs w:val="16"/>
                <w:lang w:eastAsia="de-DE"/>
              </w:rPr>
              <w:t>Strengthen digitalization and sustainability investments</w:t>
            </w:r>
          </w:p>
        </w:tc>
        <w:tc>
          <w:tcPr>
            <w:tcW w:w="169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Seizing</w:t>
            </w:r>
          </w:p>
        </w:tc>
        <w:tc>
          <w:tcPr>
            <w:tcW w:w="2976" w:type="dxa"/>
            <w:tcBorders/>
            <w:vAlign w:val="center"/>
          </w:tcPr>
          <w:p>
            <w:pPr>
              <w:pStyle w:val="Normal"/>
              <w:rPr>
                <w:sz w:val="16"/>
                <w:szCs w:val="16"/>
                <w:lang w:val="de-DE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  <w:lang w:val="de-DE"/>
              </w:rPr>
              <w:t>(Aslanova and Kulichkina 2020; Dangelico et al. 2017)</w:t>
            </w:r>
          </w:p>
          <w:p>
            <w:pPr>
              <w:pStyle w:val="Normal"/>
              <w:rPr>
                <w:sz w:val="16"/>
                <w:szCs w:val="16"/>
                <w:lang w:val="de-DE"/>
              </w:rPr>
            </w:pPr>
            <w:r>
              <w:rPr>
                <w:sz w:val="16"/>
                <w:szCs w:val="16"/>
                <w:lang w:val="de-DE"/>
              </w:rPr>
            </w:r>
          </w:p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ID2: Added that sustainability and digitalization investments should be equalized</w:t>
            </w:r>
          </w:p>
        </w:tc>
      </w:tr>
      <w:tr>
        <w:trPr>
          <w:trHeight w:val="90" w:hRule="atLeast"/>
        </w:trPr>
        <w:tc>
          <w:tcPr>
            <w:tcW w:w="1143" w:type="dxa"/>
            <w:vMerge w:val="continue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3116" w:type="dxa"/>
            <w:tcBorders/>
            <w:vAlign w:val="center"/>
          </w:tcPr>
          <w:p>
            <w:pPr>
              <w:pStyle w:val="Normal"/>
              <w:spacing w:before="0" w:after="200"/>
              <w:contextualSpacing/>
              <w:rPr>
                <w:sz w:val="16"/>
                <w:szCs w:val="16"/>
                <w:lang w:eastAsia="de-DE"/>
              </w:rPr>
            </w:pPr>
            <w:r>
              <w:rPr>
                <w:rFonts w:cs="Arial Unicode MS" w:ascii="Arial Unicode MS" w:hAnsi="Arial Unicode MS"/>
                <w:kern w:val="2"/>
                <w:sz w:val="16"/>
                <w:szCs w:val="16"/>
                <w:lang w:eastAsia="de-DE"/>
              </w:rPr>
              <w:t>Establish digitalization and sustainability key performance indicators</w:t>
            </w:r>
          </w:p>
        </w:tc>
        <w:tc>
          <w:tcPr>
            <w:tcW w:w="169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Seizing</w:t>
            </w:r>
          </w:p>
        </w:tc>
        <w:tc>
          <w:tcPr>
            <w:tcW w:w="2976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(Aslanova and Kulichkina 2020; Sari et al. 2021)</w:t>
            </w:r>
          </w:p>
        </w:tc>
      </w:tr>
      <w:tr>
        <w:trPr>
          <w:trHeight w:val="147" w:hRule="atLeast"/>
        </w:trPr>
        <w:tc>
          <w:tcPr>
            <w:tcW w:w="1143" w:type="dxa"/>
            <w:vMerge w:val="continue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3116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kern w:val="2"/>
                <w:sz w:val="16"/>
                <w:szCs w:val="16"/>
                <w:lang w:eastAsia="de-DE"/>
              </w:rPr>
              <w:t>Foster twin transformation development through (top) management commitment</w:t>
            </w:r>
          </w:p>
        </w:tc>
        <w:tc>
          <w:tcPr>
            <w:tcW w:w="169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Seizing</w:t>
            </w:r>
          </w:p>
        </w:tc>
        <w:tc>
          <w:tcPr>
            <w:tcW w:w="2976" w:type="dxa"/>
            <w:tcBorders/>
            <w:vAlign w:val="center"/>
          </w:tcPr>
          <w:p>
            <w:pPr>
              <w:pStyle w:val="Normal"/>
              <w:rPr>
                <w:sz w:val="16"/>
                <w:szCs w:val="16"/>
                <w:lang w:val="fr-FR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  <w:lang w:val="fr-FR"/>
              </w:rPr>
              <w:t>(Aslanova and Kulichkina 2020; Hortovanyi et al. 2023; Sari et al. 2021)</w:t>
            </w:r>
          </w:p>
          <w:p>
            <w:pPr>
              <w:pStyle w:val="Normal"/>
              <w:rPr>
                <w:sz w:val="16"/>
                <w:szCs w:val="16"/>
                <w:lang w:val="fr-FR"/>
              </w:rPr>
            </w:pPr>
            <w:r>
              <w:rPr>
                <w:sz w:val="16"/>
                <w:szCs w:val="16"/>
                <w:lang w:val="fr-FR"/>
              </w:rPr>
            </w:r>
          </w:p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ID5, ID9: Stressed the importance of (top) management commitment through the whole transformation</w:t>
            </w:r>
          </w:p>
        </w:tc>
      </w:tr>
      <w:tr>
        <w:trPr>
          <w:trHeight w:val="203" w:hRule="atLeast"/>
        </w:trPr>
        <w:tc>
          <w:tcPr>
            <w:tcW w:w="1143" w:type="dxa"/>
            <w:vMerge w:val="continue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3116" w:type="dxa"/>
            <w:tcBorders/>
            <w:vAlign w:val="center"/>
          </w:tcPr>
          <w:p>
            <w:pPr>
              <w:pStyle w:val="Normal"/>
              <w:spacing w:before="0" w:after="200"/>
              <w:contextualSpacing/>
              <w:rPr>
                <w:sz w:val="16"/>
                <w:szCs w:val="16"/>
                <w:lang w:eastAsia="de-DE"/>
              </w:rPr>
            </w:pPr>
            <w:r>
              <w:rPr>
                <w:rFonts w:cs="Arial Unicode MS" w:ascii="Arial Unicode MS" w:hAnsi="Arial Unicode MS"/>
                <w:kern w:val="2"/>
                <w:sz w:val="16"/>
                <w:szCs w:val="16"/>
                <w:lang w:eastAsia="de-DE"/>
              </w:rPr>
              <w:t>Foster twin transformation implementation through the (top) management</w:t>
            </w:r>
          </w:p>
        </w:tc>
        <w:tc>
          <w:tcPr>
            <w:tcW w:w="169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Seizing</w:t>
            </w:r>
          </w:p>
        </w:tc>
        <w:tc>
          <w:tcPr>
            <w:tcW w:w="2976" w:type="dxa"/>
            <w:tcBorders/>
            <w:vAlign w:val="center"/>
          </w:tcPr>
          <w:p>
            <w:pPr>
              <w:pStyle w:val="Normal"/>
              <w:rPr>
                <w:sz w:val="16"/>
                <w:szCs w:val="16"/>
                <w:lang w:val="fr-FR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  <w:lang w:val="fr-FR"/>
              </w:rPr>
              <w:t>(Aslanova and Kulichkina 2020; Hortovanyi et al. 2023; Sari et al. 2021)</w:t>
            </w:r>
          </w:p>
          <w:p>
            <w:pPr>
              <w:pStyle w:val="Normal"/>
              <w:rPr>
                <w:sz w:val="16"/>
                <w:szCs w:val="16"/>
                <w:lang w:val="fr-FR"/>
              </w:rPr>
            </w:pPr>
            <w:r>
              <w:rPr>
                <w:sz w:val="16"/>
                <w:szCs w:val="16"/>
                <w:lang w:val="fr-FR"/>
              </w:rPr>
            </w:r>
          </w:p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ID5, ID9: Stressed the importance of (top) management involvement throughout the whole transformation</w:t>
            </w:r>
          </w:p>
        </w:tc>
      </w:tr>
      <w:tr>
        <w:trPr>
          <w:trHeight w:val="260" w:hRule="atLeast"/>
        </w:trPr>
        <w:tc>
          <w:tcPr>
            <w:tcW w:w="1143" w:type="dxa"/>
            <w:vMerge w:val="continue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3116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kern w:val="2"/>
                <w:sz w:val="16"/>
                <w:szCs w:val="16"/>
                <w:lang w:eastAsia="de-DE"/>
              </w:rPr>
              <w:t>Allow integrated digital and sustainability-related changes to the value proposition and organizational identity</w:t>
            </w:r>
          </w:p>
        </w:tc>
        <w:tc>
          <w:tcPr>
            <w:tcW w:w="169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Transforming</w:t>
            </w:r>
          </w:p>
        </w:tc>
        <w:tc>
          <w:tcPr>
            <w:tcW w:w="2976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(Wessel et al. 2021)</w:t>
            </w:r>
          </w:p>
        </w:tc>
      </w:tr>
      <w:tr>
        <w:trPr>
          <w:trHeight w:val="142" w:hRule="atLeast"/>
        </w:trPr>
        <w:tc>
          <w:tcPr>
            <w:tcW w:w="1143" w:type="dxa"/>
            <w:vMerge w:val="continue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3116" w:type="dxa"/>
            <w:tcBorders/>
            <w:vAlign w:val="center"/>
          </w:tcPr>
          <w:p>
            <w:pPr>
              <w:pStyle w:val="Normal"/>
              <w:spacing w:before="0" w:after="200"/>
              <w:contextualSpacing/>
              <w:rPr>
                <w:sz w:val="16"/>
                <w:szCs w:val="16"/>
                <w:lang w:eastAsia="de-DE"/>
              </w:rPr>
            </w:pPr>
            <w:r>
              <w:rPr>
                <w:rFonts w:cs="Arial Unicode MS" w:ascii="Arial Unicode MS" w:hAnsi="Arial Unicode MS"/>
                <w:kern w:val="2"/>
                <w:sz w:val="16"/>
                <w:szCs w:val="16"/>
                <w:lang w:eastAsia="de-DE"/>
              </w:rPr>
              <w:t>Evaluate activities regarding twin transformation objectives</w:t>
            </w:r>
          </w:p>
        </w:tc>
        <w:tc>
          <w:tcPr>
            <w:tcW w:w="169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Sensing</w:t>
            </w:r>
          </w:p>
        </w:tc>
        <w:tc>
          <w:tcPr>
            <w:tcW w:w="2976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(Aslanova and Kulichkina 2020)</w:t>
            </w:r>
          </w:p>
        </w:tc>
      </w:tr>
      <w:tr>
        <w:trPr>
          <w:trHeight w:val="198" w:hRule="atLeast"/>
        </w:trPr>
        <w:tc>
          <w:tcPr>
            <w:tcW w:w="1143" w:type="dxa"/>
            <w:vMerge w:val="continue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3116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kern w:val="2"/>
                <w:sz w:val="16"/>
                <w:szCs w:val="16"/>
                <w:lang w:eastAsia="de-DE"/>
              </w:rPr>
              <w:t>Develop twin transformation business models</w:t>
            </w:r>
          </w:p>
        </w:tc>
        <w:tc>
          <w:tcPr>
            <w:tcW w:w="169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Seizing</w:t>
            </w:r>
          </w:p>
        </w:tc>
        <w:tc>
          <w:tcPr>
            <w:tcW w:w="2976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(Corrales-Estrada et al. 2021)</w:t>
            </w:r>
          </w:p>
        </w:tc>
      </w:tr>
      <w:tr>
        <w:trPr>
          <w:trHeight w:val="255" w:hRule="atLeast"/>
        </w:trPr>
        <w:tc>
          <w:tcPr>
            <w:tcW w:w="1143" w:type="dxa"/>
            <w:vMerge w:val="restart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kern w:val="2"/>
                <w:sz w:val="16"/>
                <w:szCs w:val="16"/>
                <w:lang w:eastAsia="de-DE"/>
              </w:rPr>
              <w:t xml:space="preserve">Culture and </w:t>
              <w:br/>
              <w:t>employees</w:t>
            </w:r>
          </w:p>
        </w:tc>
        <w:tc>
          <w:tcPr>
            <w:tcW w:w="3116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kern w:val="2"/>
                <w:sz w:val="16"/>
                <w:szCs w:val="16"/>
                <w:lang w:eastAsia="de-DE"/>
              </w:rPr>
              <w:t>Develop human capital regarding digital skills</w:t>
            </w:r>
          </w:p>
        </w:tc>
        <w:tc>
          <w:tcPr>
            <w:tcW w:w="169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Seizing</w:t>
            </w:r>
          </w:p>
        </w:tc>
        <w:tc>
          <w:tcPr>
            <w:tcW w:w="2976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(Yazici 2020)</w:t>
            </w:r>
          </w:p>
        </w:tc>
      </w:tr>
      <w:tr>
        <w:trPr>
          <w:trHeight w:val="255" w:hRule="atLeast"/>
        </w:trPr>
        <w:tc>
          <w:tcPr>
            <w:tcW w:w="1143" w:type="dxa"/>
            <w:vMerge w:val="continue"/>
            <w:tcBorders/>
            <w:vAlign w:val="center"/>
          </w:tcPr>
          <w:p>
            <w:pPr>
              <w:pStyle w:val="Normal"/>
              <w:spacing w:before="0" w:after="200"/>
              <w:rPr>
                <w:kern w:val="2"/>
                <w:sz w:val="16"/>
                <w:szCs w:val="16"/>
                <w:lang w:eastAsia="de-DE"/>
              </w:rPr>
            </w:pPr>
            <w:r>
              <w:rPr>
                <w:kern w:val="2"/>
                <w:sz w:val="16"/>
                <w:szCs w:val="16"/>
                <w:lang w:eastAsia="de-DE"/>
              </w:rPr>
            </w:r>
          </w:p>
        </w:tc>
        <w:tc>
          <w:tcPr>
            <w:tcW w:w="3116" w:type="dxa"/>
            <w:tcBorders/>
            <w:vAlign w:val="center"/>
          </w:tcPr>
          <w:p>
            <w:pPr>
              <w:pStyle w:val="Normal"/>
              <w:spacing w:before="0" w:after="200"/>
              <w:rPr>
                <w:kern w:val="2"/>
                <w:sz w:val="16"/>
                <w:szCs w:val="16"/>
                <w:lang w:eastAsia="de-DE"/>
              </w:rPr>
            </w:pPr>
            <w:r>
              <w:rPr>
                <w:rFonts w:cs="Arial Unicode MS" w:ascii="Arial Unicode MS" w:hAnsi="Arial Unicode MS"/>
                <w:kern w:val="2"/>
                <w:sz w:val="16"/>
                <w:szCs w:val="16"/>
                <w:lang w:eastAsia="de-DE"/>
              </w:rPr>
              <w:t>Develop human capital regarding sustainability skills</w:t>
            </w:r>
          </w:p>
        </w:tc>
        <w:tc>
          <w:tcPr>
            <w:tcW w:w="169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Seizing</w:t>
            </w:r>
          </w:p>
        </w:tc>
        <w:tc>
          <w:tcPr>
            <w:tcW w:w="2976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(Yazici 2020)</w:t>
            </w:r>
          </w:p>
        </w:tc>
      </w:tr>
      <w:tr>
        <w:trPr>
          <w:trHeight w:val="255" w:hRule="atLeast"/>
        </w:trPr>
        <w:tc>
          <w:tcPr>
            <w:tcW w:w="1143" w:type="dxa"/>
            <w:vMerge w:val="continue"/>
            <w:tcBorders/>
            <w:vAlign w:val="center"/>
          </w:tcPr>
          <w:p>
            <w:pPr>
              <w:pStyle w:val="Normal"/>
              <w:spacing w:before="0" w:after="200"/>
              <w:rPr>
                <w:kern w:val="2"/>
                <w:sz w:val="16"/>
                <w:szCs w:val="16"/>
                <w:lang w:eastAsia="de-DE"/>
              </w:rPr>
            </w:pPr>
            <w:r>
              <w:rPr>
                <w:kern w:val="2"/>
                <w:sz w:val="16"/>
                <w:szCs w:val="16"/>
                <w:lang w:eastAsia="de-DE"/>
              </w:rPr>
            </w:r>
          </w:p>
        </w:tc>
        <w:tc>
          <w:tcPr>
            <w:tcW w:w="3116" w:type="dxa"/>
            <w:tcBorders/>
            <w:vAlign w:val="center"/>
          </w:tcPr>
          <w:p>
            <w:pPr>
              <w:pStyle w:val="Normal"/>
              <w:spacing w:before="0" w:after="200"/>
              <w:contextualSpacing/>
              <w:rPr>
                <w:sz w:val="16"/>
                <w:szCs w:val="16"/>
                <w:lang w:eastAsia="de-DE"/>
              </w:rPr>
            </w:pPr>
            <w:r>
              <w:rPr>
                <w:rFonts w:cs="Arial Unicode MS" w:ascii="Arial Unicode MS" w:hAnsi="Arial Unicode MS"/>
                <w:kern w:val="2"/>
                <w:sz w:val="16"/>
                <w:szCs w:val="16"/>
                <w:lang w:eastAsia="de-DE"/>
              </w:rPr>
              <w:t>Enable creativity and self-realization to foster digital and sustainability innovation</w:t>
            </w:r>
          </w:p>
        </w:tc>
        <w:tc>
          <w:tcPr>
            <w:tcW w:w="169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Seizing</w:t>
            </w:r>
          </w:p>
        </w:tc>
        <w:tc>
          <w:tcPr>
            <w:tcW w:w="2976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  <w:lang w:val="fr-FR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  <w:lang w:val="fr-FR"/>
              </w:rPr>
              <w:t>(Nebati et al. 2023; Zaoui and Souissi 2022)</w:t>
            </w:r>
          </w:p>
        </w:tc>
      </w:tr>
      <w:tr>
        <w:trPr>
          <w:trHeight w:val="255" w:hRule="atLeast"/>
        </w:trPr>
        <w:tc>
          <w:tcPr>
            <w:tcW w:w="1143" w:type="dxa"/>
            <w:vMerge w:val="continue"/>
            <w:tcBorders/>
            <w:vAlign w:val="center"/>
          </w:tcPr>
          <w:p>
            <w:pPr>
              <w:pStyle w:val="Normal"/>
              <w:spacing w:before="0" w:after="200"/>
              <w:rPr>
                <w:kern w:val="2"/>
                <w:sz w:val="16"/>
                <w:szCs w:val="16"/>
                <w:lang w:val="fr-FR" w:eastAsia="de-DE"/>
              </w:rPr>
            </w:pPr>
            <w:r>
              <w:rPr>
                <w:kern w:val="2"/>
                <w:sz w:val="16"/>
                <w:szCs w:val="16"/>
                <w:lang w:val="fr-FR" w:eastAsia="de-DE"/>
              </w:rPr>
            </w:r>
          </w:p>
        </w:tc>
        <w:tc>
          <w:tcPr>
            <w:tcW w:w="3116" w:type="dxa"/>
            <w:tcBorders/>
            <w:vAlign w:val="center"/>
          </w:tcPr>
          <w:p>
            <w:pPr>
              <w:pStyle w:val="Normal"/>
              <w:spacing w:before="0" w:after="200"/>
              <w:rPr>
                <w:kern w:val="2"/>
                <w:sz w:val="16"/>
                <w:szCs w:val="16"/>
                <w:lang w:eastAsia="de-DE"/>
              </w:rPr>
            </w:pPr>
            <w:r>
              <w:rPr>
                <w:rFonts w:cs="Arial Unicode MS" w:ascii="Arial Unicode MS" w:hAnsi="Arial Unicode MS"/>
                <w:kern w:val="2"/>
                <w:sz w:val="16"/>
                <w:szCs w:val="16"/>
                <w:lang w:eastAsia="de-DE"/>
              </w:rPr>
              <w:t>Introduce values underlining the vision of a digital and sustainable organization</w:t>
            </w:r>
          </w:p>
        </w:tc>
        <w:tc>
          <w:tcPr>
            <w:tcW w:w="169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Transforming</w:t>
            </w:r>
          </w:p>
        </w:tc>
        <w:tc>
          <w:tcPr>
            <w:tcW w:w="2976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(Aslanova and Kulichkina 2020)</w:t>
            </w:r>
          </w:p>
        </w:tc>
      </w:tr>
      <w:tr>
        <w:trPr>
          <w:trHeight w:val="255" w:hRule="atLeast"/>
        </w:trPr>
        <w:tc>
          <w:tcPr>
            <w:tcW w:w="1143" w:type="dxa"/>
            <w:vMerge w:val="continue"/>
            <w:tcBorders/>
            <w:vAlign w:val="center"/>
          </w:tcPr>
          <w:p>
            <w:pPr>
              <w:pStyle w:val="Normal"/>
              <w:spacing w:before="0" w:after="200"/>
              <w:rPr>
                <w:kern w:val="2"/>
                <w:sz w:val="16"/>
                <w:szCs w:val="16"/>
                <w:lang w:eastAsia="de-DE"/>
              </w:rPr>
            </w:pPr>
            <w:r>
              <w:rPr>
                <w:kern w:val="2"/>
                <w:sz w:val="16"/>
                <w:szCs w:val="16"/>
                <w:lang w:eastAsia="de-DE"/>
              </w:rPr>
            </w:r>
          </w:p>
        </w:tc>
        <w:tc>
          <w:tcPr>
            <w:tcW w:w="3116" w:type="dxa"/>
            <w:tcBorders/>
            <w:vAlign w:val="center"/>
          </w:tcPr>
          <w:p>
            <w:pPr>
              <w:pStyle w:val="Normal"/>
              <w:spacing w:before="0" w:after="200"/>
              <w:contextualSpacing/>
              <w:rPr>
                <w:sz w:val="16"/>
                <w:szCs w:val="16"/>
                <w:lang w:eastAsia="de-DE"/>
              </w:rPr>
            </w:pPr>
            <w:r>
              <w:rPr>
                <w:rFonts w:cs="Arial Unicode MS" w:ascii="Arial Unicode MS" w:hAnsi="Arial Unicode MS"/>
                <w:kern w:val="2"/>
                <w:sz w:val="16"/>
                <w:szCs w:val="16"/>
                <w:lang w:eastAsia="de-DE"/>
              </w:rPr>
              <w:t>Establish twin transformation training for employees</w:t>
            </w:r>
          </w:p>
        </w:tc>
        <w:tc>
          <w:tcPr>
            <w:tcW w:w="169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Seizing</w:t>
            </w:r>
          </w:p>
        </w:tc>
        <w:tc>
          <w:tcPr>
            <w:tcW w:w="2976" w:type="dxa"/>
            <w:tcBorders/>
            <w:vAlign w:val="center"/>
          </w:tcPr>
          <w:p>
            <w:pPr>
              <w:pStyle w:val="Normal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(Aslanova and Kulichkina 2020; Hortovanyi et al. 2023; Zaoui and Souissi 2022)</w:t>
            </w:r>
          </w:p>
          <w:p>
            <w:pPr>
              <w:pStyle w:val="Normal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  <w:p>
            <w:pPr>
              <w:pStyle w:val="Normal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ID4: Added that training helps to put twin transformation values into action</w:t>
            </w:r>
          </w:p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ID9: Stressed the importance of twin transformation training for employees</w:t>
            </w:r>
          </w:p>
        </w:tc>
      </w:tr>
      <w:tr>
        <w:trPr>
          <w:trHeight w:val="255" w:hRule="atLeast"/>
        </w:trPr>
        <w:tc>
          <w:tcPr>
            <w:tcW w:w="1143" w:type="dxa"/>
            <w:vMerge w:val="continue"/>
            <w:tcBorders/>
            <w:vAlign w:val="center"/>
          </w:tcPr>
          <w:p>
            <w:pPr>
              <w:pStyle w:val="Normal"/>
              <w:spacing w:before="0" w:after="200"/>
              <w:rPr>
                <w:kern w:val="2"/>
                <w:sz w:val="16"/>
                <w:szCs w:val="16"/>
                <w:lang w:eastAsia="de-DE"/>
              </w:rPr>
            </w:pPr>
            <w:r>
              <w:rPr>
                <w:kern w:val="2"/>
                <w:sz w:val="16"/>
                <w:szCs w:val="16"/>
                <w:lang w:eastAsia="de-DE"/>
              </w:rPr>
            </w:r>
          </w:p>
        </w:tc>
        <w:tc>
          <w:tcPr>
            <w:tcW w:w="3116" w:type="dxa"/>
            <w:tcBorders/>
            <w:vAlign w:val="center"/>
          </w:tcPr>
          <w:p>
            <w:pPr>
              <w:pStyle w:val="Normal"/>
              <w:spacing w:before="0" w:after="200"/>
              <w:rPr>
                <w:kern w:val="2"/>
                <w:sz w:val="16"/>
                <w:szCs w:val="16"/>
                <w:lang w:eastAsia="de-DE"/>
              </w:rPr>
            </w:pPr>
            <w:r>
              <w:rPr>
                <w:rFonts w:cs="Arial Unicode MS" w:ascii="Arial Unicode MS" w:hAnsi="Arial Unicode MS"/>
                <w:kern w:val="2"/>
                <w:sz w:val="16"/>
                <w:szCs w:val="16"/>
                <w:lang w:eastAsia="de-DE"/>
              </w:rPr>
              <w:t>Enable new digital and self-determined work</w:t>
            </w:r>
          </w:p>
        </w:tc>
        <w:tc>
          <w:tcPr>
            <w:tcW w:w="169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Sensing</w:t>
            </w:r>
          </w:p>
        </w:tc>
        <w:tc>
          <w:tcPr>
            <w:tcW w:w="2976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(Nebati et al. 2023)</w:t>
            </w:r>
          </w:p>
        </w:tc>
      </w:tr>
      <w:tr>
        <w:trPr>
          <w:trHeight w:val="255" w:hRule="atLeast"/>
        </w:trPr>
        <w:tc>
          <w:tcPr>
            <w:tcW w:w="1143" w:type="dxa"/>
            <w:vMerge w:val="continue"/>
            <w:tcBorders/>
            <w:vAlign w:val="center"/>
          </w:tcPr>
          <w:p>
            <w:pPr>
              <w:pStyle w:val="Normal"/>
              <w:spacing w:before="0" w:after="200"/>
              <w:rPr>
                <w:kern w:val="2"/>
                <w:sz w:val="16"/>
                <w:szCs w:val="16"/>
                <w:lang w:eastAsia="de-DE"/>
              </w:rPr>
            </w:pPr>
            <w:r>
              <w:rPr>
                <w:kern w:val="2"/>
                <w:sz w:val="16"/>
                <w:szCs w:val="16"/>
                <w:lang w:eastAsia="de-DE"/>
              </w:rPr>
            </w:r>
          </w:p>
        </w:tc>
        <w:tc>
          <w:tcPr>
            <w:tcW w:w="3116" w:type="dxa"/>
            <w:tcBorders/>
            <w:vAlign w:val="center"/>
          </w:tcPr>
          <w:p>
            <w:pPr>
              <w:pStyle w:val="Normal"/>
              <w:spacing w:before="0" w:after="200"/>
              <w:rPr>
                <w:kern w:val="2"/>
                <w:sz w:val="16"/>
                <w:szCs w:val="16"/>
                <w:lang w:eastAsia="de-DE"/>
              </w:rPr>
            </w:pPr>
            <w:r>
              <w:rPr>
                <w:rFonts w:cs="Arial Unicode MS" w:ascii="Arial Unicode MS" w:hAnsi="Arial Unicode MS"/>
                <w:kern w:val="2"/>
                <w:sz w:val="16"/>
                <w:szCs w:val="16"/>
                <w:lang w:eastAsia="de-DE"/>
              </w:rPr>
              <w:t>Integrate twin transformation key performance indicators in reward systems of employees and (top) management</w:t>
            </w:r>
          </w:p>
        </w:tc>
        <w:tc>
          <w:tcPr>
            <w:tcW w:w="169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Transforming</w:t>
            </w:r>
          </w:p>
        </w:tc>
        <w:tc>
          <w:tcPr>
            <w:tcW w:w="2976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(Yazici 2020)</w:t>
            </w:r>
          </w:p>
        </w:tc>
      </w:tr>
      <w:tr>
        <w:trPr>
          <w:trHeight w:val="255" w:hRule="atLeast"/>
        </w:trPr>
        <w:tc>
          <w:tcPr>
            <w:tcW w:w="1143" w:type="dxa"/>
            <w:vMerge w:val="restart"/>
            <w:tcBorders/>
            <w:vAlign w:val="center"/>
          </w:tcPr>
          <w:p>
            <w:pPr>
              <w:pStyle w:val="Normal"/>
              <w:spacing w:before="0" w:after="200"/>
              <w:rPr>
                <w:kern w:val="2"/>
                <w:sz w:val="16"/>
                <w:szCs w:val="16"/>
                <w:lang w:eastAsia="de-DE"/>
              </w:rPr>
            </w:pPr>
            <w:r>
              <w:rPr>
                <w:rFonts w:cs="Arial Unicode MS" w:ascii="Arial Unicode MS" w:hAnsi="Arial Unicode MS"/>
                <w:kern w:val="2"/>
                <w:sz w:val="16"/>
                <w:szCs w:val="16"/>
                <w:lang w:eastAsia="de-DE"/>
              </w:rPr>
              <w:t>Ecosystem</w:t>
              <w:br/>
              <w:t>and partnerships</w:t>
            </w:r>
          </w:p>
        </w:tc>
        <w:tc>
          <w:tcPr>
            <w:tcW w:w="3116" w:type="dxa"/>
            <w:tcBorders/>
            <w:vAlign w:val="center"/>
          </w:tcPr>
          <w:p>
            <w:pPr>
              <w:pStyle w:val="Normal"/>
              <w:spacing w:before="0" w:after="200"/>
              <w:contextualSpacing/>
              <w:rPr>
                <w:sz w:val="16"/>
                <w:szCs w:val="16"/>
                <w:lang w:eastAsia="de-DE"/>
              </w:rPr>
            </w:pPr>
            <w:r>
              <w:rPr>
                <w:rFonts w:cs="Arial Unicode MS" w:ascii="Arial Unicode MS" w:hAnsi="Arial Unicode MS"/>
                <w:kern w:val="2"/>
                <w:sz w:val="16"/>
                <w:szCs w:val="16"/>
                <w:lang w:eastAsia="de-DE"/>
              </w:rPr>
              <w:t>Enhance transparency in supply chains using digital technologies</w:t>
            </w:r>
          </w:p>
        </w:tc>
        <w:tc>
          <w:tcPr>
            <w:tcW w:w="169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Seizing</w:t>
            </w:r>
          </w:p>
        </w:tc>
        <w:tc>
          <w:tcPr>
            <w:tcW w:w="2976" w:type="dxa"/>
            <w:tcBorders/>
            <w:vAlign w:val="center"/>
          </w:tcPr>
          <w:p>
            <w:pPr>
              <w:pStyle w:val="Normal"/>
              <w:rPr>
                <w:sz w:val="16"/>
                <w:szCs w:val="16"/>
                <w:lang w:val="de-DE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  <w:lang w:val="de-DE"/>
              </w:rPr>
              <w:t>(Ehrensperger et al. 2023; Singh and El-Kassar 2019)</w:t>
            </w:r>
          </w:p>
          <w:p>
            <w:pPr>
              <w:pStyle w:val="Normal"/>
              <w:rPr>
                <w:sz w:val="16"/>
                <w:szCs w:val="16"/>
                <w:lang w:val="de-DE"/>
              </w:rPr>
            </w:pPr>
            <w:r>
              <w:rPr>
                <w:sz w:val="16"/>
                <w:szCs w:val="16"/>
                <w:lang w:val="de-DE"/>
              </w:rPr>
            </w:r>
          </w:p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ID4: Highlighted that monitoring enhances the supply chain transparency and resilience</w:t>
            </w:r>
          </w:p>
        </w:tc>
      </w:tr>
      <w:tr>
        <w:trPr>
          <w:trHeight w:val="255" w:hRule="atLeast"/>
        </w:trPr>
        <w:tc>
          <w:tcPr>
            <w:tcW w:w="1143" w:type="dxa"/>
            <w:vMerge w:val="continue"/>
            <w:tcBorders/>
            <w:vAlign w:val="center"/>
          </w:tcPr>
          <w:p>
            <w:pPr>
              <w:pStyle w:val="Normal"/>
              <w:spacing w:before="0" w:after="200"/>
              <w:rPr>
                <w:kern w:val="2"/>
                <w:sz w:val="16"/>
                <w:szCs w:val="16"/>
                <w:lang w:eastAsia="de-DE"/>
              </w:rPr>
            </w:pPr>
            <w:r>
              <w:rPr>
                <w:kern w:val="2"/>
                <w:sz w:val="16"/>
                <w:szCs w:val="16"/>
                <w:lang w:eastAsia="de-DE"/>
              </w:rPr>
            </w:r>
          </w:p>
        </w:tc>
        <w:tc>
          <w:tcPr>
            <w:tcW w:w="3116" w:type="dxa"/>
            <w:tcBorders/>
            <w:vAlign w:val="center"/>
          </w:tcPr>
          <w:p>
            <w:pPr>
              <w:pStyle w:val="Normal"/>
              <w:spacing w:before="0" w:after="200"/>
              <w:contextualSpacing/>
              <w:rPr>
                <w:sz w:val="16"/>
                <w:szCs w:val="16"/>
                <w:lang w:eastAsia="de-DE"/>
              </w:rPr>
            </w:pPr>
            <w:r>
              <w:rPr>
                <w:rFonts w:cs="Arial Unicode MS" w:ascii="Arial Unicode MS" w:hAnsi="Arial Unicode MS"/>
                <w:kern w:val="2"/>
                <w:sz w:val="16"/>
                <w:szCs w:val="16"/>
                <w:lang w:eastAsia="de-DE"/>
              </w:rPr>
              <w:t>Foster dialogue with partners</w:t>
            </w:r>
          </w:p>
        </w:tc>
        <w:tc>
          <w:tcPr>
            <w:tcW w:w="169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Sensing</w:t>
            </w:r>
          </w:p>
        </w:tc>
        <w:tc>
          <w:tcPr>
            <w:tcW w:w="2976" w:type="dxa"/>
            <w:tcBorders/>
            <w:vAlign w:val="center"/>
          </w:tcPr>
          <w:p>
            <w:pPr>
              <w:pStyle w:val="Normal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 xml:space="preserve"> </w:t>
            </w:r>
            <w:r>
              <w:rPr>
                <w:rFonts w:cs="Arial Unicode MS" w:ascii="Arial Unicode MS" w:hAnsi="Arial Unicode MS"/>
                <w:sz w:val="16"/>
                <w:szCs w:val="16"/>
              </w:rPr>
              <w:t>(Aslanova and Kulichkina 2020; Nebati et al. 2023; Singh and El-Kassar 2019; Yazici 2020)</w:t>
            </w:r>
          </w:p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ID1: Stressed that digital technologies help to foster dialogue</w:t>
            </w:r>
          </w:p>
        </w:tc>
      </w:tr>
      <w:tr>
        <w:trPr>
          <w:trHeight w:val="255" w:hRule="atLeast"/>
        </w:trPr>
        <w:tc>
          <w:tcPr>
            <w:tcW w:w="1143" w:type="dxa"/>
            <w:vMerge w:val="continue"/>
            <w:tcBorders/>
            <w:vAlign w:val="center"/>
          </w:tcPr>
          <w:p>
            <w:pPr>
              <w:pStyle w:val="Normal"/>
              <w:spacing w:before="0" w:after="200"/>
              <w:rPr>
                <w:kern w:val="2"/>
                <w:sz w:val="16"/>
                <w:szCs w:val="16"/>
                <w:lang w:eastAsia="de-DE"/>
              </w:rPr>
            </w:pPr>
            <w:r>
              <w:rPr>
                <w:kern w:val="2"/>
                <w:sz w:val="16"/>
                <w:szCs w:val="16"/>
                <w:lang w:eastAsia="de-DE"/>
              </w:rPr>
            </w:r>
          </w:p>
        </w:tc>
        <w:tc>
          <w:tcPr>
            <w:tcW w:w="3116" w:type="dxa"/>
            <w:tcBorders/>
            <w:vAlign w:val="center"/>
          </w:tcPr>
          <w:p>
            <w:pPr>
              <w:pStyle w:val="Normal"/>
              <w:spacing w:before="0" w:after="200"/>
              <w:rPr>
                <w:kern w:val="2"/>
                <w:sz w:val="16"/>
                <w:szCs w:val="16"/>
                <w:lang w:eastAsia="de-DE"/>
              </w:rPr>
            </w:pPr>
            <w:r>
              <w:rPr>
                <w:rFonts w:cs="Arial Unicode MS" w:ascii="Arial Unicode MS" w:hAnsi="Arial Unicode MS"/>
                <w:kern w:val="2"/>
                <w:sz w:val="16"/>
                <w:szCs w:val="16"/>
                <w:lang w:eastAsia="de-DE"/>
              </w:rPr>
              <w:t>Reconfigure relationships with partners based on the results of data analytics enhancing the sustainability of products/services</w:t>
            </w:r>
          </w:p>
        </w:tc>
        <w:tc>
          <w:tcPr>
            <w:tcW w:w="169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Transforming</w:t>
            </w:r>
          </w:p>
        </w:tc>
        <w:tc>
          <w:tcPr>
            <w:tcW w:w="2976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  <w:lang w:val="de-DE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  <w:lang w:val="de-DE"/>
              </w:rPr>
              <w:t>(Dangelico et al. 2017; Singh and El-Kassar 2019)</w:t>
            </w:r>
          </w:p>
        </w:tc>
      </w:tr>
      <w:tr>
        <w:trPr>
          <w:trHeight w:val="255" w:hRule="atLeast"/>
        </w:trPr>
        <w:tc>
          <w:tcPr>
            <w:tcW w:w="1143" w:type="dxa"/>
            <w:vMerge w:val="continue"/>
            <w:tcBorders/>
            <w:vAlign w:val="center"/>
          </w:tcPr>
          <w:p>
            <w:pPr>
              <w:pStyle w:val="Normal"/>
              <w:spacing w:before="0" w:after="200"/>
              <w:rPr>
                <w:kern w:val="2"/>
                <w:sz w:val="16"/>
                <w:szCs w:val="16"/>
                <w:lang w:val="de-DE" w:eastAsia="de-DE"/>
              </w:rPr>
            </w:pPr>
            <w:r>
              <w:rPr>
                <w:kern w:val="2"/>
                <w:sz w:val="16"/>
                <w:szCs w:val="16"/>
                <w:lang w:val="de-DE" w:eastAsia="de-DE"/>
              </w:rPr>
            </w:r>
          </w:p>
        </w:tc>
        <w:tc>
          <w:tcPr>
            <w:tcW w:w="3116" w:type="dxa"/>
            <w:tcBorders/>
            <w:vAlign w:val="center"/>
          </w:tcPr>
          <w:p>
            <w:pPr>
              <w:pStyle w:val="Normal"/>
              <w:spacing w:before="0" w:after="200"/>
              <w:rPr>
                <w:kern w:val="2"/>
                <w:sz w:val="16"/>
                <w:szCs w:val="16"/>
                <w:lang w:eastAsia="de-DE"/>
              </w:rPr>
            </w:pPr>
            <w:r>
              <w:rPr>
                <w:rFonts w:cs="Arial Unicode MS" w:ascii="Arial Unicode MS" w:hAnsi="Arial Unicode MS"/>
                <w:kern w:val="2"/>
                <w:sz w:val="16"/>
                <w:szCs w:val="16"/>
                <w:lang w:eastAsia="de-DE"/>
              </w:rPr>
              <w:t>Integrate partners' twin transformation knowledge and competencies acquired thanks to established dialogue</w:t>
            </w:r>
          </w:p>
        </w:tc>
        <w:tc>
          <w:tcPr>
            <w:tcW w:w="169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Sensing</w:t>
            </w:r>
          </w:p>
        </w:tc>
        <w:tc>
          <w:tcPr>
            <w:tcW w:w="2976" w:type="dxa"/>
            <w:tcBorders/>
            <w:vAlign w:val="center"/>
          </w:tcPr>
          <w:p>
            <w:pPr>
              <w:pStyle w:val="Normal"/>
              <w:rPr>
                <w:sz w:val="16"/>
                <w:szCs w:val="16"/>
                <w:lang w:val="de-DE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  <w:lang w:val="de-DE"/>
              </w:rPr>
              <w:t>(Dangelico et al. 2017; Singh and El-Kassar 2019)</w:t>
            </w:r>
          </w:p>
          <w:p>
            <w:pPr>
              <w:pStyle w:val="Normal"/>
              <w:rPr>
                <w:sz w:val="16"/>
                <w:szCs w:val="16"/>
                <w:lang w:val="de-DE"/>
              </w:rPr>
            </w:pPr>
            <w:r>
              <w:rPr>
                <w:sz w:val="16"/>
                <w:szCs w:val="16"/>
                <w:lang w:val="de-DE"/>
              </w:rPr>
            </w:r>
          </w:p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ID8: Added that involving different ecosystem stakeholders is important</w:t>
            </w:r>
          </w:p>
        </w:tc>
      </w:tr>
      <w:tr>
        <w:trPr>
          <w:trHeight w:val="255" w:hRule="atLeast"/>
        </w:trPr>
        <w:tc>
          <w:tcPr>
            <w:tcW w:w="1143" w:type="dxa"/>
            <w:vMerge w:val="continue"/>
            <w:tcBorders/>
            <w:vAlign w:val="center"/>
          </w:tcPr>
          <w:p>
            <w:pPr>
              <w:pStyle w:val="Normal"/>
              <w:spacing w:before="0" w:after="200"/>
              <w:rPr>
                <w:kern w:val="2"/>
                <w:sz w:val="16"/>
                <w:szCs w:val="16"/>
                <w:lang w:eastAsia="de-DE"/>
              </w:rPr>
            </w:pPr>
            <w:r>
              <w:rPr>
                <w:kern w:val="2"/>
                <w:sz w:val="16"/>
                <w:szCs w:val="16"/>
                <w:lang w:eastAsia="de-DE"/>
              </w:rPr>
            </w:r>
          </w:p>
        </w:tc>
        <w:tc>
          <w:tcPr>
            <w:tcW w:w="3116" w:type="dxa"/>
            <w:tcBorders/>
            <w:vAlign w:val="center"/>
          </w:tcPr>
          <w:p>
            <w:pPr>
              <w:pStyle w:val="Normal"/>
              <w:spacing w:before="0" w:after="200"/>
              <w:rPr>
                <w:kern w:val="2"/>
                <w:sz w:val="16"/>
                <w:szCs w:val="16"/>
                <w:lang w:eastAsia="de-DE"/>
              </w:rPr>
            </w:pPr>
            <w:r>
              <w:rPr>
                <w:rFonts w:cs="Arial Unicode MS" w:ascii="Arial Unicode MS" w:hAnsi="Arial Unicode MS"/>
                <w:kern w:val="2"/>
                <w:sz w:val="16"/>
                <w:szCs w:val="16"/>
                <w:lang w:eastAsia="de-DE"/>
              </w:rPr>
              <w:t>Influence legislators on twin transformation standards</w:t>
            </w:r>
          </w:p>
        </w:tc>
        <w:tc>
          <w:tcPr>
            <w:tcW w:w="169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Seizing</w:t>
            </w:r>
          </w:p>
        </w:tc>
        <w:tc>
          <w:tcPr>
            <w:tcW w:w="2976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ID1: Added influence legislators on twin transformation standards as a new capability</w:t>
            </w:r>
          </w:p>
        </w:tc>
      </w:tr>
      <w:tr>
        <w:trPr>
          <w:trHeight w:val="255" w:hRule="atLeast"/>
        </w:trPr>
        <w:tc>
          <w:tcPr>
            <w:tcW w:w="1143" w:type="dxa"/>
            <w:vMerge w:val="restart"/>
            <w:tcBorders/>
            <w:vAlign w:val="center"/>
          </w:tcPr>
          <w:p>
            <w:pPr>
              <w:pStyle w:val="Normal"/>
              <w:spacing w:before="0" w:after="200"/>
              <w:rPr>
                <w:kern w:val="2"/>
                <w:sz w:val="16"/>
                <w:szCs w:val="16"/>
                <w:lang w:eastAsia="de-DE"/>
              </w:rPr>
            </w:pPr>
            <w:r>
              <w:rPr>
                <w:rFonts w:cs="Arial Unicode MS" w:ascii="Arial Unicode MS" w:hAnsi="Arial Unicode MS"/>
                <w:kern w:val="2"/>
                <w:sz w:val="16"/>
                <w:szCs w:val="16"/>
                <w:lang w:eastAsia="de-DE"/>
              </w:rPr>
              <w:t xml:space="preserve">Products and </w:t>
              <w:br/>
              <w:t>services</w:t>
            </w:r>
          </w:p>
        </w:tc>
        <w:tc>
          <w:tcPr>
            <w:tcW w:w="3116" w:type="dxa"/>
            <w:tcBorders/>
            <w:vAlign w:val="center"/>
          </w:tcPr>
          <w:p>
            <w:pPr>
              <w:pStyle w:val="Normal"/>
              <w:spacing w:before="0" w:after="200"/>
              <w:rPr>
                <w:kern w:val="2"/>
                <w:sz w:val="16"/>
                <w:szCs w:val="16"/>
                <w:lang w:eastAsia="de-DE"/>
              </w:rPr>
            </w:pPr>
            <w:r>
              <w:rPr>
                <w:rFonts w:cs="Arial Unicode MS" w:ascii="Arial Unicode MS" w:hAnsi="Arial Unicode MS"/>
                <w:kern w:val="2"/>
                <w:sz w:val="16"/>
                <w:szCs w:val="16"/>
                <w:lang w:eastAsia="de-DE"/>
              </w:rPr>
              <w:t>Foster the development of digital services</w:t>
            </w:r>
          </w:p>
        </w:tc>
        <w:tc>
          <w:tcPr>
            <w:tcW w:w="169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Seizing</w:t>
            </w:r>
          </w:p>
        </w:tc>
        <w:tc>
          <w:tcPr>
            <w:tcW w:w="2976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(Yazici 2020)</w:t>
            </w:r>
          </w:p>
        </w:tc>
      </w:tr>
      <w:tr>
        <w:trPr>
          <w:trHeight w:val="255" w:hRule="atLeast"/>
        </w:trPr>
        <w:tc>
          <w:tcPr>
            <w:tcW w:w="1143" w:type="dxa"/>
            <w:vMerge w:val="continue"/>
            <w:tcBorders/>
            <w:vAlign w:val="center"/>
          </w:tcPr>
          <w:p>
            <w:pPr>
              <w:pStyle w:val="Normal"/>
              <w:spacing w:before="0" w:after="200"/>
              <w:rPr>
                <w:kern w:val="2"/>
                <w:sz w:val="16"/>
                <w:szCs w:val="16"/>
                <w:lang w:eastAsia="de-DE"/>
              </w:rPr>
            </w:pPr>
            <w:r>
              <w:rPr>
                <w:kern w:val="2"/>
                <w:sz w:val="16"/>
                <w:szCs w:val="16"/>
                <w:lang w:eastAsia="de-DE"/>
              </w:rPr>
            </w:r>
          </w:p>
        </w:tc>
        <w:tc>
          <w:tcPr>
            <w:tcW w:w="3116" w:type="dxa"/>
            <w:tcBorders/>
            <w:vAlign w:val="center"/>
          </w:tcPr>
          <w:p>
            <w:pPr>
              <w:pStyle w:val="Normal"/>
              <w:spacing w:before="0" w:after="200"/>
              <w:rPr>
                <w:kern w:val="2"/>
                <w:sz w:val="16"/>
                <w:szCs w:val="16"/>
                <w:lang w:eastAsia="de-DE"/>
              </w:rPr>
            </w:pPr>
            <w:r>
              <w:rPr>
                <w:rFonts w:cs="Arial Unicode MS" w:ascii="Arial Unicode MS" w:hAnsi="Arial Unicode MS"/>
                <w:kern w:val="2"/>
                <w:sz w:val="16"/>
                <w:szCs w:val="16"/>
                <w:lang w:eastAsia="de-DE"/>
              </w:rPr>
              <w:t>Foster the collection of environmental and social sustainability data on products/services</w:t>
            </w:r>
          </w:p>
        </w:tc>
        <w:tc>
          <w:tcPr>
            <w:tcW w:w="169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Seizing</w:t>
            </w:r>
          </w:p>
        </w:tc>
        <w:tc>
          <w:tcPr>
            <w:tcW w:w="2976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(Aslanova and Kulichkina 2020)</w:t>
            </w:r>
          </w:p>
        </w:tc>
      </w:tr>
      <w:tr>
        <w:trPr>
          <w:trHeight w:val="255" w:hRule="atLeast"/>
        </w:trPr>
        <w:tc>
          <w:tcPr>
            <w:tcW w:w="1143" w:type="dxa"/>
            <w:vMerge w:val="continue"/>
            <w:tcBorders/>
            <w:vAlign w:val="center"/>
          </w:tcPr>
          <w:p>
            <w:pPr>
              <w:pStyle w:val="Normal"/>
              <w:spacing w:before="0" w:after="200"/>
              <w:rPr>
                <w:kern w:val="2"/>
                <w:sz w:val="16"/>
                <w:szCs w:val="16"/>
                <w:lang w:eastAsia="de-DE"/>
              </w:rPr>
            </w:pPr>
            <w:r>
              <w:rPr>
                <w:kern w:val="2"/>
                <w:sz w:val="16"/>
                <w:szCs w:val="16"/>
                <w:lang w:eastAsia="de-DE"/>
              </w:rPr>
            </w:r>
          </w:p>
        </w:tc>
        <w:tc>
          <w:tcPr>
            <w:tcW w:w="3116" w:type="dxa"/>
            <w:tcBorders/>
            <w:vAlign w:val="center"/>
          </w:tcPr>
          <w:p>
            <w:pPr>
              <w:pStyle w:val="Normal"/>
              <w:spacing w:before="0" w:after="200"/>
              <w:contextualSpacing/>
              <w:rPr>
                <w:sz w:val="16"/>
                <w:szCs w:val="16"/>
                <w:lang w:eastAsia="de-DE"/>
              </w:rPr>
            </w:pPr>
            <w:r>
              <w:rPr>
                <w:rFonts w:cs="Arial Unicode MS" w:ascii="Arial Unicode MS" w:hAnsi="Arial Unicode MS"/>
                <w:kern w:val="2"/>
                <w:sz w:val="16"/>
                <w:szCs w:val="16"/>
                <w:lang w:eastAsia="de-DE"/>
              </w:rPr>
              <w:t>Reconfigure product development teams to include sustainability and digital specialists</w:t>
            </w:r>
          </w:p>
        </w:tc>
        <w:tc>
          <w:tcPr>
            <w:tcW w:w="169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Transforming</w:t>
            </w:r>
          </w:p>
        </w:tc>
        <w:tc>
          <w:tcPr>
            <w:tcW w:w="2976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(Dangelico et al. 2017)</w:t>
            </w:r>
          </w:p>
        </w:tc>
      </w:tr>
      <w:tr>
        <w:trPr>
          <w:trHeight w:val="255" w:hRule="atLeast"/>
        </w:trPr>
        <w:tc>
          <w:tcPr>
            <w:tcW w:w="1143" w:type="dxa"/>
            <w:vMerge w:val="continue"/>
            <w:tcBorders/>
            <w:vAlign w:val="center"/>
          </w:tcPr>
          <w:p>
            <w:pPr>
              <w:pStyle w:val="Normal"/>
              <w:spacing w:before="0" w:after="200"/>
              <w:rPr>
                <w:kern w:val="2"/>
                <w:sz w:val="16"/>
                <w:szCs w:val="16"/>
                <w:lang w:eastAsia="de-DE"/>
              </w:rPr>
            </w:pPr>
            <w:r>
              <w:rPr>
                <w:kern w:val="2"/>
                <w:sz w:val="16"/>
                <w:szCs w:val="16"/>
                <w:lang w:eastAsia="de-DE"/>
              </w:rPr>
            </w:r>
          </w:p>
        </w:tc>
        <w:tc>
          <w:tcPr>
            <w:tcW w:w="3116" w:type="dxa"/>
            <w:tcBorders/>
            <w:vAlign w:val="center"/>
          </w:tcPr>
          <w:p>
            <w:pPr>
              <w:pStyle w:val="Normal"/>
              <w:spacing w:before="0" w:after="200"/>
              <w:contextualSpacing/>
              <w:rPr>
                <w:sz w:val="16"/>
                <w:szCs w:val="16"/>
                <w:lang w:eastAsia="de-DE"/>
              </w:rPr>
            </w:pPr>
            <w:r>
              <w:rPr>
                <w:rFonts w:cs="Arial Unicode MS" w:ascii="Arial Unicode MS" w:hAnsi="Arial Unicode MS"/>
                <w:kern w:val="2"/>
                <w:sz w:val="16"/>
                <w:szCs w:val="16"/>
                <w:lang w:eastAsia="de-DE"/>
              </w:rPr>
              <w:t>Redesign or develop products and services as per twin transformation objectives</w:t>
            </w:r>
          </w:p>
        </w:tc>
        <w:tc>
          <w:tcPr>
            <w:tcW w:w="169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Transforming</w:t>
            </w:r>
          </w:p>
        </w:tc>
        <w:tc>
          <w:tcPr>
            <w:tcW w:w="2976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(Santos and Martinho 2020; Singh and El-Kassar 2019; Yazici 2020)(Santos and Martinho 2020; Singh and El-Kassar 2019)</w:t>
            </w:r>
          </w:p>
        </w:tc>
      </w:tr>
      <w:tr>
        <w:trPr>
          <w:trHeight w:val="255" w:hRule="atLeast"/>
        </w:trPr>
        <w:tc>
          <w:tcPr>
            <w:tcW w:w="1143" w:type="dxa"/>
            <w:vMerge w:val="continue"/>
            <w:tcBorders/>
            <w:vAlign w:val="center"/>
          </w:tcPr>
          <w:p>
            <w:pPr>
              <w:pStyle w:val="Normal"/>
              <w:spacing w:before="0" w:after="200"/>
              <w:rPr>
                <w:kern w:val="2"/>
                <w:sz w:val="16"/>
                <w:szCs w:val="16"/>
                <w:lang w:eastAsia="de-DE"/>
              </w:rPr>
            </w:pPr>
            <w:r>
              <w:rPr>
                <w:kern w:val="2"/>
                <w:sz w:val="16"/>
                <w:szCs w:val="16"/>
                <w:lang w:eastAsia="de-DE"/>
              </w:rPr>
            </w:r>
          </w:p>
        </w:tc>
        <w:tc>
          <w:tcPr>
            <w:tcW w:w="3116" w:type="dxa"/>
            <w:tcBorders/>
            <w:vAlign w:val="center"/>
          </w:tcPr>
          <w:p>
            <w:pPr>
              <w:pStyle w:val="Normal"/>
              <w:spacing w:before="0" w:after="200"/>
              <w:rPr>
                <w:kern w:val="2"/>
                <w:sz w:val="16"/>
                <w:szCs w:val="16"/>
                <w:lang w:eastAsia="de-DE"/>
              </w:rPr>
            </w:pPr>
            <w:r>
              <w:rPr>
                <w:rFonts w:cs="Arial Unicode MS" w:ascii="Arial Unicode MS" w:hAnsi="Arial Unicode MS"/>
                <w:kern w:val="2"/>
                <w:sz w:val="16"/>
                <w:szCs w:val="16"/>
                <w:lang w:eastAsia="de-DE"/>
              </w:rPr>
              <w:t>Establish data analytics to enhance the sustainability of products/services</w:t>
            </w:r>
          </w:p>
        </w:tc>
        <w:tc>
          <w:tcPr>
            <w:tcW w:w="169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Seizing</w:t>
            </w:r>
          </w:p>
        </w:tc>
        <w:tc>
          <w:tcPr>
            <w:tcW w:w="2976" w:type="dxa"/>
            <w:tcBorders/>
            <w:vAlign w:val="center"/>
          </w:tcPr>
          <w:p>
            <w:pPr>
              <w:pStyle w:val="Normal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(Nebati et al. 2023)</w:t>
            </w:r>
          </w:p>
          <w:p>
            <w:pPr>
              <w:pStyle w:val="Normal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ID12: Stressed the importance of analyzing sustainability data</w:t>
            </w:r>
          </w:p>
        </w:tc>
      </w:tr>
      <w:tr>
        <w:trPr>
          <w:trHeight w:val="255" w:hRule="atLeast"/>
        </w:trPr>
        <w:tc>
          <w:tcPr>
            <w:tcW w:w="1143" w:type="dxa"/>
            <w:vMerge w:val="continue"/>
            <w:tcBorders/>
            <w:vAlign w:val="center"/>
          </w:tcPr>
          <w:p>
            <w:pPr>
              <w:pStyle w:val="Normal"/>
              <w:spacing w:before="0" w:after="200"/>
              <w:rPr>
                <w:kern w:val="2"/>
                <w:sz w:val="16"/>
                <w:szCs w:val="16"/>
                <w:lang w:eastAsia="de-DE"/>
              </w:rPr>
            </w:pPr>
            <w:r>
              <w:rPr>
                <w:kern w:val="2"/>
                <w:sz w:val="16"/>
                <w:szCs w:val="16"/>
                <w:lang w:eastAsia="de-DE"/>
              </w:rPr>
            </w:r>
          </w:p>
        </w:tc>
        <w:tc>
          <w:tcPr>
            <w:tcW w:w="3116" w:type="dxa"/>
            <w:tcBorders/>
            <w:vAlign w:val="center"/>
          </w:tcPr>
          <w:p>
            <w:pPr>
              <w:pStyle w:val="Normal"/>
              <w:spacing w:before="0" w:after="200"/>
              <w:rPr>
                <w:kern w:val="2"/>
                <w:sz w:val="16"/>
                <w:szCs w:val="16"/>
                <w:lang w:eastAsia="de-DE"/>
              </w:rPr>
            </w:pPr>
            <w:r>
              <w:rPr>
                <w:rFonts w:cs="Arial Unicode MS" w:ascii="Arial Unicode MS" w:hAnsi="Arial Unicode MS"/>
                <w:kern w:val="2"/>
                <w:sz w:val="16"/>
                <w:szCs w:val="16"/>
                <w:lang w:eastAsia="de-DE"/>
              </w:rPr>
              <w:t>Focus on cradle-to-cradle approaches</w:t>
            </w:r>
          </w:p>
        </w:tc>
        <w:tc>
          <w:tcPr>
            <w:tcW w:w="169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Seizing</w:t>
            </w:r>
          </w:p>
        </w:tc>
        <w:tc>
          <w:tcPr>
            <w:tcW w:w="2976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(Singh and El-Kassar 2019)</w:t>
            </w:r>
          </w:p>
        </w:tc>
      </w:tr>
      <w:tr>
        <w:trPr>
          <w:trHeight w:val="255" w:hRule="atLeast"/>
        </w:trPr>
        <w:tc>
          <w:tcPr>
            <w:tcW w:w="1143" w:type="dxa"/>
            <w:vMerge w:val="restart"/>
            <w:tcBorders/>
            <w:vAlign w:val="center"/>
          </w:tcPr>
          <w:p>
            <w:pPr>
              <w:pStyle w:val="Normal"/>
              <w:spacing w:before="0" w:after="200"/>
              <w:rPr>
                <w:kern w:val="2"/>
                <w:sz w:val="16"/>
                <w:szCs w:val="16"/>
                <w:lang w:eastAsia="de-DE"/>
              </w:rPr>
            </w:pPr>
            <w:r>
              <w:rPr>
                <w:rFonts w:cs="Arial Unicode MS" w:ascii="Arial Unicode MS" w:hAnsi="Arial Unicode MS"/>
                <w:kern w:val="2"/>
                <w:sz w:val="16"/>
                <w:szCs w:val="16"/>
                <w:lang w:eastAsia="de-DE"/>
              </w:rPr>
              <w:t>Operations</w:t>
            </w:r>
          </w:p>
        </w:tc>
        <w:tc>
          <w:tcPr>
            <w:tcW w:w="3116" w:type="dxa"/>
            <w:tcBorders/>
            <w:vAlign w:val="center"/>
          </w:tcPr>
          <w:p>
            <w:pPr>
              <w:pStyle w:val="Normal"/>
              <w:spacing w:before="0" w:after="200"/>
              <w:rPr>
                <w:kern w:val="2"/>
                <w:sz w:val="16"/>
                <w:szCs w:val="16"/>
                <w:lang w:eastAsia="de-DE"/>
              </w:rPr>
            </w:pPr>
            <w:r>
              <w:rPr>
                <w:rFonts w:cs="Arial Unicode MS" w:ascii="Arial Unicode MS" w:hAnsi="Arial Unicode MS"/>
                <w:kern w:val="2"/>
                <w:sz w:val="16"/>
                <w:szCs w:val="16"/>
                <w:lang w:eastAsia="de-DE"/>
              </w:rPr>
              <w:t>Foster integrated information, communication, and operation systems</w:t>
            </w:r>
          </w:p>
        </w:tc>
        <w:tc>
          <w:tcPr>
            <w:tcW w:w="169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Sensing</w:t>
            </w:r>
          </w:p>
        </w:tc>
        <w:tc>
          <w:tcPr>
            <w:tcW w:w="2976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(Nebati et al. 2023)</w:t>
            </w:r>
          </w:p>
        </w:tc>
      </w:tr>
      <w:tr>
        <w:trPr>
          <w:trHeight w:val="255" w:hRule="atLeast"/>
        </w:trPr>
        <w:tc>
          <w:tcPr>
            <w:tcW w:w="1143" w:type="dxa"/>
            <w:vMerge w:val="continue"/>
            <w:tcBorders/>
            <w:vAlign w:val="center"/>
          </w:tcPr>
          <w:p>
            <w:pPr>
              <w:pStyle w:val="Normal"/>
              <w:spacing w:before="0" w:after="200"/>
              <w:rPr>
                <w:kern w:val="2"/>
                <w:sz w:val="16"/>
                <w:szCs w:val="16"/>
                <w:lang w:eastAsia="de-DE"/>
              </w:rPr>
            </w:pPr>
            <w:r>
              <w:rPr>
                <w:kern w:val="2"/>
                <w:sz w:val="16"/>
                <w:szCs w:val="16"/>
                <w:lang w:eastAsia="de-DE"/>
              </w:rPr>
            </w:r>
          </w:p>
        </w:tc>
        <w:tc>
          <w:tcPr>
            <w:tcW w:w="3116" w:type="dxa"/>
            <w:tcBorders/>
            <w:vAlign w:val="center"/>
          </w:tcPr>
          <w:p>
            <w:pPr>
              <w:pStyle w:val="Normal"/>
              <w:spacing w:before="0" w:after="200"/>
              <w:rPr>
                <w:kern w:val="2"/>
                <w:sz w:val="16"/>
                <w:szCs w:val="16"/>
                <w:lang w:eastAsia="de-DE"/>
              </w:rPr>
            </w:pPr>
            <w:r>
              <w:rPr>
                <w:rFonts w:cs="Arial Unicode MS" w:ascii="Arial Unicode MS" w:hAnsi="Arial Unicode MS"/>
                <w:kern w:val="2"/>
                <w:sz w:val="16"/>
                <w:szCs w:val="16"/>
                <w:lang w:eastAsia="de-DE"/>
              </w:rPr>
              <w:t>Foster the introduction of criteria to digitally evaluate the sustainability performance of operations</w:t>
            </w:r>
          </w:p>
        </w:tc>
        <w:tc>
          <w:tcPr>
            <w:tcW w:w="169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Sensing</w:t>
            </w:r>
          </w:p>
        </w:tc>
        <w:tc>
          <w:tcPr>
            <w:tcW w:w="2976" w:type="dxa"/>
            <w:tcBorders/>
            <w:vAlign w:val="center"/>
          </w:tcPr>
          <w:p>
            <w:pPr>
              <w:pStyle w:val="Normal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(Aslanova and Kulichkina 2020)</w:t>
              <w:br/>
            </w:r>
          </w:p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ID6: Highlighted that defining aims for processes is important</w:t>
              <w:br/>
              <w:t>ID11: Stressed the importance of twin transformation objectives for (operational) processes</w:t>
            </w:r>
          </w:p>
        </w:tc>
      </w:tr>
      <w:tr>
        <w:trPr>
          <w:trHeight w:val="255" w:hRule="atLeast"/>
        </w:trPr>
        <w:tc>
          <w:tcPr>
            <w:tcW w:w="1143" w:type="dxa"/>
            <w:vMerge w:val="continue"/>
            <w:tcBorders/>
            <w:vAlign w:val="center"/>
          </w:tcPr>
          <w:p>
            <w:pPr>
              <w:pStyle w:val="Normal"/>
              <w:spacing w:before="0" w:after="200"/>
              <w:rPr>
                <w:kern w:val="2"/>
                <w:sz w:val="16"/>
                <w:szCs w:val="16"/>
                <w:lang w:eastAsia="de-DE"/>
              </w:rPr>
            </w:pPr>
            <w:r>
              <w:rPr>
                <w:kern w:val="2"/>
                <w:sz w:val="16"/>
                <w:szCs w:val="16"/>
                <w:lang w:eastAsia="de-DE"/>
              </w:rPr>
            </w:r>
          </w:p>
        </w:tc>
        <w:tc>
          <w:tcPr>
            <w:tcW w:w="3116" w:type="dxa"/>
            <w:tcBorders/>
            <w:vAlign w:val="center"/>
          </w:tcPr>
          <w:p>
            <w:pPr>
              <w:pStyle w:val="Normal"/>
              <w:spacing w:before="0" w:after="200"/>
              <w:contextualSpacing/>
              <w:rPr>
                <w:sz w:val="16"/>
                <w:szCs w:val="16"/>
                <w:lang w:eastAsia="de-DE"/>
              </w:rPr>
            </w:pPr>
            <w:r>
              <w:rPr>
                <w:rFonts w:cs="Arial Unicode MS" w:ascii="Arial Unicode MS" w:hAnsi="Arial Unicode MS"/>
                <w:kern w:val="2"/>
                <w:sz w:val="16"/>
                <w:szCs w:val="16"/>
                <w:lang w:eastAsia="de-DE"/>
              </w:rPr>
              <w:t>Establish data-based (sustainability) monitoring</w:t>
            </w:r>
          </w:p>
        </w:tc>
        <w:tc>
          <w:tcPr>
            <w:tcW w:w="169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Seizing</w:t>
            </w:r>
          </w:p>
        </w:tc>
        <w:tc>
          <w:tcPr>
            <w:tcW w:w="2976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(Nebati et al. 2023)</w:t>
            </w:r>
          </w:p>
        </w:tc>
      </w:tr>
      <w:tr>
        <w:trPr>
          <w:trHeight w:val="255" w:hRule="atLeast"/>
        </w:trPr>
        <w:tc>
          <w:tcPr>
            <w:tcW w:w="1143" w:type="dxa"/>
            <w:vMerge w:val="continue"/>
            <w:tcBorders/>
            <w:vAlign w:val="center"/>
          </w:tcPr>
          <w:p>
            <w:pPr>
              <w:pStyle w:val="Normal"/>
              <w:spacing w:before="0" w:after="200"/>
              <w:rPr>
                <w:kern w:val="2"/>
                <w:sz w:val="16"/>
                <w:szCs w:val="16"/>
                <w:lang w:eastAsia="de-DE"/>
              </w:rPr>
            </w:pPr>
            <w:r>
              <w:rPr>
                <w:kern w:val="2"/>
                <w:sz w:val="16"/>
                <w:szCs w:val="16"/>
                <w:lang w:eastAsia="de-DE"/>
              </w:rPr>
            </w:r>
          </w:p>
        </w:tc>
        <w:tc>
          <w:tcPr>
            <w:tcW w:w="3116" w:type="dxa"/>
            <w:tcBorders/>
            <w:vAlign w:val="center"/>
          </w:tcPr>
          <w:p>
            <w:pPr>
              <w:pStyle w:val="Normal"/>
              <w:spacing w:before="0" w:after="200"/>
              <w:contextualSpacing/>
              <w:rPr>
                <w:kern w:val="2"/>
                <w:sz w:val="16"/>
                <w:szCs w:val="16"/>
                <w:lang w:eastAsia="de-DE"/>
              </w:rPr>
            </w:pPr>
            <w:r>
              <w:rPr>
                <w:rFonts w:cs="Arial Unicode MS" w:ascii="Arial Unicode MS" w:hAnsi="Arial Unicode MS"/>
                <w:kern w:val="2"/>
                <w:sz w:val="16"/>
                <w:szCs w:val="16"/>
                <w:lang w:eastAsia="de-DE"/>
              </w:rPr>
              <w:t>Establish cross-departmental collaboration</w:t>
            </w:r>
          </w:p>
        </w:tc>
        <w:tc>
          <w:tcPr>
            <w:tcW w:w="169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Seizing</w:t>
            </w:r>
          </w:p>
        </w:tc>
        <w:tc>
          <w:tcPr>
            <w:tcW w:w="2976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(Nebati et al. 2023)</w:t>
            </w:r>
          </w:p>
        </w:tc>
      </w:tr>
      <w:tr>
        <w:trPr>
          <w:trHeight w:val="255" w:hRule="atLeast"/>
        </w:trPr>
        <w:tc>
          <w:tcPr>
            <w:tcW w:w="1143" w:type="dxa"/>
            <w:vMerge w:val="continue"/>
            <w:tcBorders/>
            <w:vAlign w:val="center"/>
          </w:tcPr>
          <w:p>
            <w:pPr>
              <w:pStyle w:val="Normal"/>
              <w:spacing w:before="0" w:after="200"/>
              <w:rPr>
                <w:kern w:val="2"/>
                <w:sz w:val="16"/>
                <w:szCs w:val="16"/>
                <w:lang w:eastAsia="de-DE"/>
              </w:rPr>
            </w:pPr>
            <w:r>
              <w:rPr>
                <w:kern w:val="2"/>
                <w:sz w:val="16"/>
                <w:szCs w:val="16"/>
                <w:lang w:eastAsia="de-DE"/>
              </w:rPr>
            </w:r>
          </w:p>
        </w:tc>
        <w:tc>
          <w:tcPr>
            <w:tcW w:w="3116" w:type="dxa"/>
            <w:tcBorders/>
            <w:vAlign w:val="center"/>
          </w:tcPr>
          <w:p>
            <w:pPr>
              <w:pStyle w:val="Normal"/>
              <w:spacing w:before="0" w:after="200"/>
              <w:contextualSpacing/>
              <w:rPr>
                <w:sz w:val="16"/>
                <w:szCs w:val="16"/>
                <w:lang w:eastAsia="de-DE"/>
              </w:rPr>
            </w:pPr>
            <w:r>
              <w:rPr>
                <w:rFonts w:cs="Arial Unicode MS" w:ascii="Arial Unicode MS" w:hAnsi="Arial Unicode MS"/>
                <w:kern w:val="2"/>
                <w:sz w:val="16"/>
                <w:szCs w:val="16"/>
                <w:lang w:eastAsia="de-DE"/>
              </w:rPr>
              <w:t>Reconfigure layouts, manufactural and logistical processes for sustainability effectiveness</w:t>
            </w:r>
          </w:p>
        </w:tc>
        <w:tc>
          <w:tcPr>
            <w:tcW w:w="169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Transforming</w:t>
            </w:r>
          </w:p>
        </w:tc>
        <w:tc>
          <w:tcPr>
            <w:tcW w:w="2976" w:type="dxa"/>
            <w:tcBorders/>
            <w:vAlign w:val="center"/>
          </w:tcPr>
          <w:p>
            <w:pPr>
              <w:pStyle w:val="Normal"/>
              <w:rPr>
                <w:sz w:val="16"/>
                <w:szCs w:val="16"/>
                <w:lang w:val="fr-FR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  <w:lang w:val="fr-FR"/>
              </w:rPr>
              <w:t>(Dangelico et al. 2017; Nebati et al. 2023; Singh and El-Kassar 2019; Sohns et al. 2023)</w:t>
            </w:r>
          </w:p>
          <w:p>
            <w:pPr>
              <w:pStyle w:val="Normal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  <w:lang w:val="en-US"/>
              </w:rPr>
              <w:br/>
            </w:r>
            <w:r>
              <w:rPr>
                <w:rFonts w:cs="Arial Unicode MS" w:ascii="Arial Unicode MS" w:hAnsi="Arial Unicode MS"/>
                <w:sz w:val="16"/>
                <w:szCs w:val="16"/>
              </w:rPr>
              <w:t>ID11: Added ‘layout, manufactural, logistical’ in the wording</w:t>
            </w:r>
          </w:p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ID13: Replaced ‘control…’ with ‘reconfigure…’ in the wording</w:t>
            </w:r>
          </w:p>
        </w:tc>
      </w:tr>
      <w:tr>
        <w:trPr>
          <w:trHeight w:val="58" w:hRule="atLeast"/>
        </w:trPr>
        <w:tc>
          <w:tcPr>
            <w:tcW w:w="1143" w:type="dxa"/>
            <w:vMerge w:val="continue"/>
            <w:tcBorders/>
            <w:vAlign w:val="center"/>
          </w:tcPr>
          <w:p>
            <w:pPr>
              <w:pStyle w:val="Normal"/>
              <w:spacing w:before="0" w:after="200"/>
              <w:rPr>
                <w:kern w:val="2"/>
                <w:sz w:val="16"/>
                <w:szCs w:val="16"/>
                <w:lang w:eastAsia="de-DE"/>
              </w:rPr>
            </w:pPr>
            <w:r>
              <w:rPr>
                <w:kern w:val="2"/>
                <w:sz w:val="16"/>
                <w:szCs w:val="16"/>
                <w:lang w:eastAsia="de-DE"/>
              </w:rPr>
            </w:r>
          </w:p>
        </w:tc>
        <w:tc>
          <w:tcPr>
            <w:tcW w:w="3116" w:type="dxa"/>
            <w:tcBorders/>
            <w:vAlign w:val="center"/>
          </w:tcPr>
          <w:p>
            <w:pPr>
              <w:pStyle w:val="Normal"/>
              <w:spacing w:before="0" w:after="200"/>
              <w:contextualSpacing/>
              <w:rPr>
                <w:kern w:val="2"/>
                <w:sz w:val="16"/>
                <w:szCs w:val="16"/>
                <w:lang w:eastAsia="de-DE"/>
              </w:rPr>
            </w:pPr>
            <w:r>
              <w:rPr>
                <w:rFonts w:cs="Arial Unicode MS" w:ascii="Arial Unicode MS" w:hAnsi="Arial Unicode MS"/>
                <w:kern w:val="2"/>
                <w:sz w:val="16"/>
                <w:szCs w:val="16"/>
                <w:lang w:eastAsia="de-DE"/>
              </w:rPr>
              <w:t>Establish data analytics to continuously improve the twin transformation performance of operations</w:t>
            </w:r>
          </w:p>
        </w:tc>
        <w:tc>
          <w:tcPr>
            <w:tcW w:w="169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Transforming</w:t>
            </w:r>
          </w:p>
        </w:tc>
        <w:tc>
          <w:tcPr>
            <w:tcW w:w="2976" w:type="dxa"/>
            <w:tcBorders/>
            <w:vAlign w:val="center"/>
          </w:tcPr>
          <w:p>
            <w:pPr>
              <w:pStyle w:val="Normal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(Aslanova and Kulichkina 2020)</w:t>
            </w:r>
          </w:p>
          <w:p>
            <w:pPr>
              <w:pStyle w:val="Normal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ID4: Stressed that digital monitoring of the twin transformation performance is relevant</w:t>
            </w:r>
          </w:p>
        </w:tc>
      </w:tr>
      <w:tr>
        <w:trPr>
          <w:trHeight w:val="255" w:hRule="atLeast"/>
        </w:trPr>
        <w:tc>
          <w:tcPr>
            <w:tcW w:w="1143" w:type="dxa"/>
            <w:vMerge w:val="restart"/>
            <w:tcBorders/>
            <w:vAlign w:val="center"/>
          </w:tcPr>
          <w:p>
            <w:pPr>
              <w:pStyle w:val="Normal"/>
              <w:spacing w:before="0" w:after="200"/>
              <w:rPr>
                <w:kern w:val="2"/>
                <w:sz w:val="16"/>
                <w:szCs w:val="16"/>
                <w:lang w:eastAsia="de-DE"/>
              </w:rPr>
            </w:pPr>
            <w:r>
              <w:rPr>
                <w:rFonts w:cs="Arial Unicode MS" w:ascii="Arial Unicode MS" w:hAnsi="Arial Unicode MS"/>
                <w:kern w:val="2"/>
                <w:sz w:val="16"/>
                <w:szCs w:val="16"/>
                <w:lang w:eastAsia="de-DE"/>
              </w:rPr>
              <w:t>Technology</w:t>
            </w:r>
          </w:p>
        </w:tc>
        <w:tc>
          <w:tcPr>
            <w:tcW w:w="3116" w:type="dxa"/>
            <w:tcBorders/>
            <w:vAlign w:val="center"/>
          </w:tcPr>
          <w:p>
            <w:pPr>
              <w:pStyle w:val="Normal"/>
              <w:spacing w:before="0" w:after="200"/>
              <w:contextualSpacing/>
              <w:rPr>
                <w:kern w:val="2"/>
                <w:sz w:val="16"/>
                <w:szCs w:val="16"/>
                <w:lang w:eastAsia="de-DE"/>
              </w:rPr>
            </w:pPr>
            <w:r>
              <w:rPr>
                <w:rFonts w:cs="Arial Unicode MS" w:ascii="Arial Unicode MS" w:hAnsi="Arial Unicode MS"/>
                <w:kern w:val="2"/>
                <w:sz w:val="16"/>
                <w:szCs w:val="16"/>
                <w:lang w:eastAsia="de-DE"/>
              </w:rPr>
              <w:t>Establish data governance mechanisms to enhance the data and information sovereignty</w:t>
            </w:r>
          </w:p>
        </w:tc>
        <w:tc>
          <w:tcPr>
            <w:tcW w:w="169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Sensing</w:t>
            </w:r>
          </w:p>
        </w:tc>
        <w:tc>
          <w:tcPr>
            <w:tcW w:w="2976" w:type="dxa"/>
            <w:tcBorders/>
            <w:vAlign w:val="center"/>
          </w:tcPr>
          <w:p>
            <w:pPr>
              <w:pStyle w:val="Normal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(Aslanova and Kulichkina 2020)</w:t>
            </w:r>
          </w:p>
          <w:p>
            <w:pPr>
              <w:pStyle w:val="Normal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ID5: Stressed the importance of ensuring data security and protection</w:t>
            </w:r>
          </w:p>
        </w:tc>
      </w:tr>
      <w:tr>
        <w:trPr>
          <w:trHeight w:val="255" w:hRule="atLeast"/>
        </w:trPr>
        <w:tc>
          <w:tcPr>
            <w:tcW w:w="1143" w:type="dxa"/>
            <w:vMerge w:val="continue"/>
            <w:tcBorders/>
            <w:vAlign w:val="center"/>
          </w:tcPr>
          <w:p>
            <w:pPr>
              <w:pStyle w:val="Normal"/>
              <w:spacing w:before="0" w:after="200"/>
              <w:rPr>
                <w:kern w:val="2"/>
                <w:sz w:val="16"/>
                <w:szCs w:val="16"/>
                <w:lang w:eastAsia="de-DE"/>
              </w:rPr>
            </w:pPr>
            <w:r>
              <w:rPr>
                <w:kern w:val="2"/>
                <w:sz w:val="16"/>
                <w:szCs w:val="16"/>
                <w:lang w:eastAsia="de-DE"/>
              </w:rPr>
            </w:r>
          </w:p>
        </w:tc>
        <w:tc>
          <w:tcPr>
            <w:tcW w:w="3116" w:type="dxa"/>
            <w:tcBorders/>
            <w:vAlign w:val="center"/>
          </w:tcPr>
          <w:p>
            <w:pPr>
              <w:pStyle w:val="Normal"/>
              <w:spacing w:before="0" w:after="200"/>
              <w:contextualSpacing/>
              <w:rPr>
                <w:sz w:val="16"/>
                <w:szCs w:val="16"/>
                <w:lang w:eastAsia="de-DE"/>
              </w:rPr>
            </w:pPr>
            <w:r>
              <w:rPr>
                <w:rFonts w:cs="Arial Unicode MS" w:ascii="Arial Unicode MS" w:hAnsi="Arial Unicode MS"/>
                <w:kern w:val="2"/>
                <w:sz w:val="16"/>
                <w:szCs w:val="16"/>
                <w:lang w:eastAsia="de-DE"/>
              </w:rPr>
              <w:t>Build awareness for sustainability within the technology stack (Green/Effective IT)</w:t>
            </w:r>
          </w:p>
        </w:tc>
        <w:tc>
          <w:tcPr>
            <w:tcW w:w="169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Sensing</w:t>
            </w:r>
          </w:p>
        </w:tc>
        <w:tc>
          <w:tcPr>
            <w:tcW w:w="2976" w:type="dxa"/>
            <w:tcBorders/>
            <w:vAlign w:val="center"/>
          </w:tcPr>
          <w:p>
            <w:pPr>
              <w:pStyle w:val="Normal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(Singh and El-Kassar 2019)</w:t>
            </w:r>
          </w:p>
          <w:p>
            <w:pPr>
              <w:pStyle w:val="Normal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ID5: Added that establishing awareness for Green IT projects is relevant</w:t>
            </w:r>
          </w:p>
        </w:tc>
      </w:tr>
      <w:tr>
        <w:trPr>
          <w:trHeight w:val="255" w:hRule="atLeast"/>
        </w:trPr>
        <w:tc>
          <w:tcPr>
            <w:tcW w:w="1143" w:type="dxa"/>
            <w:vMerge w:val="continue"/>
            <w:tcBorders/>
            <w:vAlign w:val="center"/>
          </w:tcPr>
          <w:p>
            <w:pPr>
              <w:pStyle w:val="Normal"/>
              <w:spacing w:before="0" w:after="200"/>
              <w:rPr>
                <w:kern w:val="2"/>
                <w:sz w:val="16"/>
                <w:szCs w:val="16"/>
                <w:lang w:eastAsia="de-DE"/>
              </w:rPr>
            </w:pPr>
            <w:r>
              <w:rPr>
                <w:kern w:val="2"/>
                <w:sz w:val="16"/>
                <w:szCs w:val="16"/>
                <w:lang w:eastAsia="de-DE"/>
              </w:rPr>
            </w:r>
          </w:p>
        </w:tc>
        <w:tc>
          <w:tcPr>
            <w:tcW w:w="3116" w:type="dxa"/>
            <w:tcBorders/>
            <w:vAlign w:val="center"/>
          </w:tcPr>
          <w:p>
            <w:pPr>
              <w:pStyle w:val="Normal"/>
              <w:spacing w:before="0" w:after="200"/>
              <w:contextualSpacing/>
              <w:rPr>
                <w:kern w:val="2"/>
                <w:sz w:val="16"/>
                <w:szCs w:val="16"/>
                <w:lang w:eastAsia="de-DE"/>
              </w:rPr>
            </w:pPr>
            <w:r>
              <w:rPr>
                <w:rFonts w:cs="Arial Unicode MS" w:ascii="Arial Unicode MS" w:hAnsi="Arial Unicode MS"/>
                <w:kern w:val="2"/>
                <w:sz w:val="16"/>
                <w:szCs w:val="16"/>
                <w:lang w:eastAsia="de-DE"/>
              </w:rPr>
              <w:t>Implement environmental, social, and governance (ESG) controlling</w:t>
            </w:r>
          </w:p>
        </w:tc>
        <w:tc>
          <w:tcPr>
            <w:tcW w:w="169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Transforming</w:t>
            </w:r>
          </w:p>
        </w:tc>
        <w:tc>
          <w:tcPr>
            <w:tcW w:w="2976" w:type="dxa"/>
            <w:tcBorders/>
            <w:vAlign w:val="center"/>
          </w:tcPr>
          <w:p>
            <w:pPr>
              <w:pStyle w:val="Normal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(Aslanova and Kulichkina 2020; Sari et al. 2021)</w:t>
            </w:r>
          </w:p>
          <w:p>
            <w:pPr>
              <w:pStyle w:val="Normal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ID4: Highlighted the importance of a (digital) sustainability controlling to monitor sustainability objectives</w:t>
            </w:r>
          </w:p>
        </w:tc>
      </w:tr>
      <w:tr>
        <w:trPr>
          <w:trHeight w:val="255" w:hRule="atLeast"/>
        </w:trPr>
        <w:tc>
          <w:tcPr>
            <w:tcW w:w="1143" w:type="dxa"/>
            <w:vMerge w:val="continue"/>
            <w:tcBorders/>
            <w:vAlign w:val="center"/>
          </w:tcPr>
          <w:p>
            <w:pPr>
              <w:pStyle w:val="Normal"/>
              <w:spacing w:before="0" w:after="200"/>
              <w:rPr>
                <w:kern w:val="2"/>
                <w:sz w:val="16"/>
                <w:szCs w:val="16"/>
                <w:lang w:eastAsia="de-DE"/>
              </w:rPr>
            </w:pPr>
            <w:r>
              <w:rPr>
                <w:kern w:val="2"/>
                <w:sz w:val="16"/>
                <w:szCs w:val="16"/>
                <w:lang w:eastAsia="de-DE"/>
              </w:rPr>
            </w:r>
          </w:p>
        </w:tc>
        <w:tc>
          <w:tcPr>
            <w:tcW w:w="3116" w:type="dxa"/>
            <w:tcBorders/>
            <w:vAlign w:val="center"/>
          </w:tcPr>
          <w:p>
            <w:pPr>
              <w:pStyle w:val="Normal"/>
              <w:spacing w:before="0" w:after="200"/>
              <w:contextualSpacing/>
              <w:rPr>
                <w:kern w:val="2"/>
                <w:sz w:val="16"/>
                <w:szCs w:val="16"/>
                <w:lang w:eastAsia="de-DE"/>
              </w:rPr>
            </w:pPr>
            <w:r>
              <w:rPr>
                <w:rFonts w:cs="Arial Unicode MS" w:ascii="Arial Unicode MS" w:hAnsi="Arial Unicode MS"/>
                <w:kern w:val="2"/>
                <w:sz w:val="16"/>
                <w:szCs w:val="16"/>
                <w:lang w:eastAsia="de-DE"/>
              </w:rPr>
              <w:t>Establish the usage of sustainable internal processes and technical infrastructure (Green/Effective IT)</w:t>
            </w:r>
          </w:p>
        </w:tc>
        <w:tc>
          <w:tcPr>
            <w:tcW w:w="169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Seizing</w:t>
            </w:r>
          </w:p>
        </w:tc>
        <w:tc>
          <w:tcPr>
            <w:tcW w:w="2976" w:type="dxa"/>
            <w:tcBorders/>
            <w:vAlign w:val="center"/>
          </w:tcPr>
          <w:p>
            <w:pPr>
              <w:pStyle w:val="Normal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(Nebati et al. 2023; Singh and El-Kassar 2019)</w:t>
            </w:r>
          </w:p>
          <w:p>
            <w:pPr>
              <w:pStyle w:val="Normal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ID1: Stressed that establishing a sustainable system infrastructure enabling management of information is a fundament of ST</w:t>
            </w:r>
          </w:p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ID5: Highlighted that using sustainable organizational and technical infrastructure (Green IT) is important</w:t>
            </w:r>
          </w:p>
        </w:tc>
      </w:tr>
      <w:tr>
        <w:trPr>
          <w:trHeight w:val="255" w:hRule="atLeast"/>
        </w:trPr>
        <w:tc>
          <w:tcPr>
            <w:tcW w:w="1143" w:type="dxa"/>
            <w:vMerge w:val="continue"/>
            <w:tcBorders/>
            <w:vAlign w:val="center"/>
          </w:tcPr>
          <w:p>
            <w:pPr>
              <w:pStyle w:val="Normal"/>
              <w:spacing w:before="0" w:after="200"/>
              <w:rPr>
                <w:kern w:val="2"/>
                <w:sz w:val="16"/>
                <w:szCs w:val="16"/>
                <w:lang w:eastAsia="de-DE"/>
              </w:rPr>
            </w:pPr>
            <w:r>
              <w:rPr>
                <w:kern w:val="2"/>
                <w:sz w:val="16"/>
                <w:szCs w:val="16"/>
                <w:lang w:eastAsia="de-DE"/>
              </w:rPr>
            </w:r>
          </w:p>
        </w:tc>
        <w:tc>
          <w:tcPr>
            <w:tcW w:w="3116" w:type="dxa"/>
            <w:tcBorders/>
            <w:vAlign w:val="center"/>
          </w:tcPr>
          <w:p>
            <w:pPr>
              <w:pStyle w:val="Normal"/>
              <w:spacing w:before="0" w:after="200"/>
              <w:contextualSpacing/>
              <w:rPr>
                <w:sz w:val="16"/>
                <w:szCs w:val="16"/>
                <w:lang w:eastAsia="de-DE"/>
              </w:rPr>
            </w:pPr>
            <w:r>
              <w:rPr>
                <w:rFonts w:cs="Arial Unicode MS" w:ascii="Arial Unicode MS" w:hAnsi="Arial Unicode MS"/>
                <w:kern w:val="2"/>
                <w:sz w:val="16"/>
                <w:szCs w:val="16"/>
                <w:lang w:eastAsia="de-DE"/>
              </w:rPr>
              <w:t>Facilitate cross-organizational cooperation by providing an organization-wide data management tool</w:t>
            </w:r>
          </w:p>
        </w:tc>
        <w:tc>
          <w:tcPr>
            <w:tcW w:w="169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Seizing</w:t>
            </w:r>
          </w:p>
        </w:tc>
        <w:tc>
          <w:tcPr>
            <w:tcW w:w="2976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  <w:lang w:val="fr-FR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  <w:lang w:val="fr-FR"/>
              </w:rPr>
              <w:t>(Dangelico et al. 2017; Nebati et al. 2023)</w:t>
            </w:r>
          </w:p>
        </w:tc>
      </w:tr>
      <w:tr>
        <w:trPr>
          <w:trHeight w:val="255" w:hRule="atLeast"/>
        </w:trPr>
        <w:tc>
          <w:tcPr>
            <w:tcW w:w="1143" w:type="dxa"/>
            <w:vMerge w:val="continue"/>
            <w:tcBorders/>
            <w:vAlign w:val="center"/>
          </w:tcPr>
          <w:p>
            <w:pPr>
              <w:pStyle w:val="Normal"/>
              <w:spacing w:before="0" w:after="200"/>
              <w:rPr>
                <w:kern w:val="2"/>
                <w:sz w:val="16"/>
                <w:szCs w:val="16"/>
                <w:lang w:val="fr-FR" w:eastAsia="de-DE"/>
              </w:rPr>
            </w:pPr>
            <w:r>
              <w:rPr>
                <w:kern w:val="2"/>
                <w:sz w:val="16"/>
                <w:szCs w:val="16"/>
                <w:lang w:val="fr-FR" w:eastAsia="de-DE"/>
              </w:rPr>
            </w:r>
          </w:p>
        </w:tc>
        <w:tc>
          <w:tcPr>
            <w:tcW w:w="3116" w:type="dxa"/>
            <w:tcBorders/>
            <w:vAlign w:val="center"/>
          </w:tcPr>
          <w:p>
            <w:pPr>
              <w:pStyle w:val="Normal"/>
              <w:spacing w:before="0" w:after="200"/>
              <w:contextualSpacing/>
              <w:rPr>
                <w:kern w:val="2"/>
                <w:sz w:val="16"/>
                <w:szCs w:val="16"/>
                <w:lang w:eastAsia="de-DE"/>
              </w:rPr>
            </w:pPr>
            <w:r>
              <w:rPr>
                <w:rFonts w:cs="Arial Unicode MS" w:ascii="Arial Unicode MS" w:hAnsi="Arial Unicode MS"/>
                <w:kern w:val="2"/>
                <w:sz w:val="16"/>
                <w:szCs w:val="16"/>
                <w:lang w:eastAsia="de-DE"/>
              </w:rPr>
              <w:t>Foster advanced analytics in management dashboards to monitor twin transformation objectives</w:t>
            </w:r>
          </w:p>
        </w:tc>
        <w:tc>
          <w:tcPr>
            <w:tcW w:w="169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Sensing</w:t>
            </w:r>
          </w:p>
        </w:tc>
        <w:tc>
          <w:tcPr>
            <w:tcW w:w="2976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(Aslanova and Kulichkina 2020)</w:t>
            </w:r>
          </w:p>
        </w:tc>
      </w:tr>
      <w:tr>
        <w:trPr>
          <w:trHeight w:val="255" w:hRule="atLeast"/>
        </w:trPr>
        <w:tc>
          <w:tcPr>
            <w:tcW w:w="1143" w:type="dxa"/>
            <w:vMerge w:val="continue"/>
            <w:tcBorders/>
            <w:vAlign w:val="center"/>
          </w:tcPr>
          <w:p>
            <w:pPr>
              <w:pStyle w:val="Normal"/>
              <w:spacing w:before="0" w:after="200"/>
              <w:rPr>
                <w:kern w:val="2"/>
                <w:sz w:val="16"/>
                <w:szCs w:val="16"/>
                <w:lang w:eastAsia="de-DE"/>
              </w:rPr>
            </w:pPr>
            <w:r>
              <w:rPr>
                <w:kern w:val="2"/>
                <w:sz w:val="16"/>
                <w:szCs w:val="16"/>
                <w:lang w:eastAsia="de-DE"/>
              </w:rPr>
            </w:r>
          </w:p>
        </w:tc>
        <w:tc>
          <w:tcPr>
            <w:tcW w:w="3116" w:type="dxa"/>
            <w:tcBorders/>
            <w:vAlign w:val="center"/>
          </w:tcPr>
          <w:p>
            <w:pPr>
              <w:pStyle w:val="Normal"/>
              <w:spacing w:before="0" w:after="200"/>
              <w:contextualSpacing/>
              <w:rPr>
                <w:sz w:val="16"/>
                <w:szCs w:val="16"/>
                <w:lang w:eastAsia="de-DE"/>
              </w:rPr>
            </w:pPr>
            <w:r>
              <w:rPr>
                <w:rFonts w:cs="Arial Unicode MS" w:ascii="Arial Unicode MS" w:hAnsi="Arial Unicode MS"/>
                <w:kern w:val="2"/>
                <w:sz w:val="16"/>
                <w:szCs w:val="16"/>
                <w:lang w:eastAsia="de-DE"/>
              </w:rPr>
              <w:t>Exploit the sustainability potential of emerging digital technologies</w:t>
            </w:r>
          </w:p>
        </w:tc>
        <w:tc>
          <w:tcPr>
            <w:tcW w:w="169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Sensing</w:t>
            </w:r>
          </w:p>
        </w:tc>
        <w:tc>
          <w:tcPr>
            <w:tcW w:w="2976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(Yazici 2020)</w:t>
            </w:r>
          </w:p>
        </w:tc>
      </w:tr>
      <w:tr>
        <w:trPr>
          <w:trHeight w:val="255" w:hRule="atLeast"/>
        </w:trPr>
        <w:tc>
          <w:tcPr>
            <w:tcW w:w="1143" w:type="dxa"/>
            <w:vMerge w:val="continue"/>
            <w:tcBorders/>
            <w:vAlign w:val="center"/>
          </w:tcPr>
          <w:p>
            <w:pPr>
              <w:pStyle w:val="Normal"/>
              <w:spacing w:before="0" w:after="200"/>
              <w:rPr>
                <w:kern w:val="2"/>
                <w:sz w:val="16"/>
                <w:szCs w:val="16"/>
                <w:lang w:eastAsia="de-DE"/>
              </w:rPr>
            </w:pPr>
            <w:r>
              <w:rPr>
                <w:kern w:val="2"/>
                <w:sz w:val="16"/>
                <w:szCs w:val="16"/>
                <w:lang w:eastAsia="de-DE"/>
              </w:rPr>
            </w:r>
          </w:p>
        </w:tc>
        <w:tc>
          <w:tcPr>
            <w:tcW w:w="3116" w:type="dxa"/>
            <w:tcBorders/>
            <w:vAlign w:val="center"/>
          </w:tcPr>
          <w:p>
            <w:pPr>
              <w:pStyle w:val="Normal"/>
              <w:spacing w:before="0" w:after="200"/>
              <w:contextualSpacing/>
              <w:rPr>
                <w:kern w:val="2"/>
                <w:sz w:val="16"/>
                <w:szCs w:val="16"/>
                <w:lang w:eastAsia="de-DE"/>
              </w:rPr>
            </w:pPr>
            <w:r>
              <w:rPr>
                <w:rFonts w:cs="Arial Unicode MS" w:ascii="Arial Unicode MS" w:hAnsi="Arial Unicode MS"/>
                <w:kern w:val="2"/>
                <w:sz w:val="16"/>
                <w:szCs w:val="16"/>
                <w:lang w:eastAsia="de-DE"/>
              </w:rPr>
              <w:t>Establish a cross-ecosystem data management tool facilitating twin transformation</w:t>
            </w:r>
          </w:p>
        </w:tc>
        <w:tc>
          <w:tcPr>
            <w:tcW w:w="1699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Seizing</w:t>
            </w:r>
          </w:p>
        </w:tc>
        <w:tc>
          <w:tcPr>
            <w:tcW w:w="2976" w:type="dxa"/>
            <w:tcBorders/>
            <w:vAlign w:val="center"/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(Aslanova and Kulichkina 2020; Yazici 2020)</w:t>
            </w:r>
          </w:p>
        </w:tc>
      </w:tr>
      <w:tr>
        <w:trPr>
          <w:trHeight w:val="287" w:hRule="atLeast"/>
        </w:trPr>
        <w:tc>
          <w:tcPr>
            <w:tcW w:w="8934" w:type="dxa"/>
            <w:gridSpan w:val="4"/>
            <w:tcBorders>
              <w:bottom w:val="single" w:sz="12" w:space="0" w:color="000000"/>
            </w:tcBorders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rFonts w:cs="Arial Unicode MS" w:ascii="Arial Unicode MS" w:hAnsi="Arial Unicode MS"/>
                <w:sz w:val="16"/>
                <w:szCs w:val="16"/>
              </w:rPr>
              <w:t>*according to Steininger et al. 2022; Teece 2007, 2014</w:t>
            </w:r>
          </w:p>
        </w:tc>
      </w:tr>
    </w:tbl>
    <w:p>
      <w:pPr>
        <w:pStyle w:val="Normal"/>
        <w:spacing w:before="200" w:after="200"/>
        <w:rPr/>
      </w:pPr>
      <w:r>
        <w:rPr>
          <w:rFonts w:cs="Arial Unicode MS" w:ascii="Arial Unicode MS" w:hAnsi="Arial Unicode MS"/>
          <w:i/>
          <w:iCs/>
          <w:color w:themeColor="text2" w:val="1F497D"/>
          <w:sz w:val="18"/>
          <w:szCs w:val="18"/>
          <w:lang w:val="en-GB" w:eastAsia="en-GB"/>
        </w:rPr>
        <w:t>Table 8. Background Information on the Capabilities Listed in the TTCMM</w:t>
      </w:r>
    </w:p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sectPr>
      <w:type w:val="nextPage"/>
      <w:pgSz w:w="12240" w:h="15840"/>
      <w:pgMar w:left="1440" w:right="1440" w:gutter="0" w:header="0" w:top="1440" w:footer="0" w:bottom="144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Arial Unicode MS">
    <w:charset w:val="00"/>
    <w:family w:val="swiss"/>
    <w:pitch w:val="variable"/>
  </w:font>
</w:fonts>
</file>

<file path=word/settings.xml><?xml version="1.0" encoding="utf-8"?>
<w:settings xmlns:w="http://schemas.openxmlformats.org/wordprocessingml/2006/main">
  <w:zoom w:percent="100"/>
  <w:trackRevisions/>
  <w:defaultTabStop w:val="720"/>
  <w:autoHyphenation w:val="true"/>
  <w:hyphenationZone w:val="0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themeFontLang w:val="en-IN" w:eastAsia="" w:bidi=""/>
  <w:docVars>
    <w:docVar w:name="__Grammarly_42____i" w:val="H4sIAAAAAAAEAKtWckksSQxILCpxzi/NK1GyMqwFAAEhoTITAAAA"/>
    <w:docVar w:name="__Grammarly_42___1" w:val="H4sIAAAAAAAEAKtWcslP9kxRslIyNDY2MzMyNrc0MDI2NDIyszBS0lEKTi0uzszPAykwrAUAG6/2+SwAAAA="/>
  </w:docVars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IN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en-IN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Heading">
    <w:name w:val="Heading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Revision">
    <w:name w:val="Revision"/>
    <w:uiPriority w:val="99"/>
    <w:semiHidden/>
    <w:qFormat/>
    <w:rsid w:val="00a655d4"/>
    <w:pPr>
      <w:widowControl/>
      <w:bidi w:val="0"/>
      <w:spacing w:lineRule="auto" w:line="240"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en-IN" w:eastAsia="en-US" w:bidi="ar-SA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aleTabelle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customXml" Target="../customXml/item1.xml"/><Relationship Id="rId6" Type="http://schemas.openxmlformats.org/officeDocument/2006/relationships/customXml" Target="../customXml/item2.xml"/><Relationship Id="rId7" Type="http://schemas.openxmlformats.org/officeDocument/2006/relationships/customXml" Target="../customXml/item3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_rels/item2.xml.rels><?xml version="1.0" encoding="UTF-8"?>
<Relationships xmlns="http://schemas.openxmlformats.org/package/2006/relationships"><Relationship Id="rId1" Type="http://schemas.openxmlformats.org/officeDocument/2006/relationships/customXmlProps" Target="itemProps2.xml"/>
</Relationships>
</file>

<file path=customXml/_rels/item3.xml.rels><?xml version="1.0" encoding="UTF-8"?>
<Relationships xmlns="http://schemas.openxmlformats.org/package/2006/relationships"><Relationship Id="rId1" Type="http://schemas.openxmlformats.org/officeDocument/2006/relationships/customXmlProps" Target="itemProps3.xml"/>
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48DBF6C662273345BEF2434AC30981F2" ma:contentTypeVersion="14" ma:contentTypeDescription="Ein neues Dokument erstellen." ma:contentTypeScope="" ma:versionID="5003f54e31e7107cd3f07f34cc0ad950">
  <xsd:schema xmlns:xsd="http://www.w3.org/2001/XMLSchema" xmlns:xs="http://www.w3.org/2001/XMLSchema" xmlns:p="http://schemas.microsoft.com/office/2006/metadata/properties" xmlns:ns2="a7efd075-eb78-4adf-a9ba-24f0abfeb017" xmlns:ns3="59ed4985-d3f1-4027-8d49-292d44644354" targetNamespace="http://schemas.microsoft.com/office/2006/metadata/properties" ma:root="true" ma:fieldsID="b56432e1add583437adccc20ae095dde" ns2:_="" ns3:_="">
    <xsd:import namespace="a7efd075-eb78-4adf-a9ba-24f0abfeb017"/>
    <xsd:import namespace="59ed4985-d3f1-4027-8d49-292d4464435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7efd075-eb78-4adf-a9ba-24f0abfeb01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1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6" nillable="true" ma:taxonomy="true" ma:internalName="lcf76f155ced4ddcb4097134ff3c332f" ma:taxonomyFieldName="MediaServiceImageTags" ma:displayName="Bildmarkierungen" ma:readOnly="false" ma:fieldId="{5cf76f15-5ced-4ddc-b409-7134ff3c332f}" ma:taxonomyMulti="true" ma:sspId="9e00f353-0966-4817-9458-30baef77fa7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9ed4985-d3f1-4027-8d49-292d44644354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7" nillable="true" ma:displayName="Taxonomy Catch All Column" ma:hidden="true" ma:list="{4072ea75-5b7c-40e6-bc12-061311baa5c1}" ma:internalName="TaxCatchAll" ma:showField="CatchAllData" ma:web="59ed4985-d3f1-4027-8d49-292d4464435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59ed4985-d3f1-4027-8d49-292d44644354" xsi:nil="true"/>
    <lcf76f155ced4ddcb4097134ff3c332f xmlns="a7efd075-eb78-4adf-a9ba-24f0abfeb017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6E5C880-3670-4C25-AB45-BBF97061384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7efd075-eb78-4adf-a9ba-24f0abfeb017"/>
    <ds:schemaRef ds:uri="59ed4985-d3f1-4027-8d49-292d4464435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ECAF2FB-ACE2-47D3-B6E2-6C45E5D2AA35}">
  <ds:schemaRefs>
    <ds:schemaRef ds:uri="http://schemas.microsoft.com/office/2006/metadata/properties"/>
    <ds:schemaRef ds:uri="http://schemas.microsoft.com/office/infopath/2007/PartnerControls"/>
    <ds:schemaRef ds:uri="59ed4985-d3f1-4027-8d49-292d44644354"/>
    <ds:schemaRef ds:uri="a7efd075-eb78-4adf-a9ba-24f0abfeb017"/>
  </ds:schemaRefs>
</ds:datastoreItem>
</file>

<file path=customXml/itemProps3.xml><?xml version="1.0" encoding="utf-8"?>
<ds:datastoreItem xmlns:ds="http://schemas.openxmlformats.org/officeDocument/2006/customXml" ds:itemID="{DD177E4A-CE7C-42CB-AE0F-3BBA34A2586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Application>LibreOffice/24.8.1.2$Windows_X86_64 LibreOffice_project/87fa9aec1a63e70835390b81c40bb8993f1d4ff6</Application>
  <AppVersion>15.0000</AppVersion>
  <Pages>9</Pages>
  <Words>1445</Words>
  <Characters>9110</Characters>
  <CharactersWithSpaces>10534</CharactersWithSpaces>
  <Paragraphs>21</Paragraphs>
  <Company>home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2024-07-16T07:17:00Z</dcterms:created>
  <dc:creator>acer</dc:creator>
  <dc:description/>
  <dc:language>en-IN</dc:language>
  <cp:lastModifiedBy>Schnaak, Feline</cp:lastModifiedBy>
  <dcterms:modified xsi:type="dcterms:W3CDTF">2024-10-07T06:52:00Z</dcterms:modified>
  <cp:revision>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0x01010048DBF6C662273345BEF2434AC30981F2</vt:lpwstr>
  </property>
  <property fmtid="{D5CDD505-2E9C-101B-9397-08002B2CF9AE}" pid="3" name="MediaServiceImageTags">
    <vt:lpwstr/>
  </property>
</Properties>
</file>