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A10670" w14:textId="08FA68E1" w:rsidR="007E445F" w:rsidRDefault="00140981" w:rsidP="00C03540">
      <w:pPr>
        <w:pStyle w:val="Heading1"/>
      </w:pPr>
      <w:r w:rsidRPr="00B72B98">
        <w:t>Appendix</w:t>
      </w:r>
    </w:p>
    <w:p w14:paraId="37396529" w14:textId="5A78848D" w:rsidR="00FA26CE" w:rsidRPr="00FA26CE" w:rsidRDefault="00FA26CE" w:rsidP="00FA26CE">
      <w:pPr>
        <w:pStyle w:val="Caption"/>
        <w:spacing w:before="240" w:after="360" w:line="360" w:lineRule="auto"/>
        <w:rPr>
          <w:rFonts w:asciiTheme="minorHAnsi" w:hAnsiTheme="minorHAnsi" w:cstheme="minorHAnsi"/>
          <w:i w:val="0"/>
          <w:iCs w:val="0"/>
          <w:color w:val="auto"/>
        </w:rPr>
      </w:pPr>
      <w:r w:rsidRPr="002B79C1">
        <w:rPr>
          <w:rFonts w:asciiTheme="minorHAnsi" w:hAnsiTheme="minorHAnsi" w:cstheme="minorHAnsi"/>
          <w:b/>
          <w:i w:val="0"/>
          <w:color w:val="auto"/>
        </w:rPr>
        <w:t>Tabl</w:t>
      </w:r>
      <w:r w:rsidRPr="002B79C1">
        <w:rPr>
          <w:rFonts w:asciiTheme="minorHAnsi" w:hAnsiTheme="minorHAnsi" w:cstheme="minorHAnsi"/>
          <w:b/>
          <w:bCs/>
          <w:i w:val="0"/>
          <w:iCs w:val="0"/>
          <w:color w:val="auto"/>
        </w:rPr>
        <w:t xml:space="preserve">e 6 </w:t>
      </w:r>
      <w:r w:rsidRPr="002B79C1">
        <w:rPr>
          <w:rFonts w:asciiTheme="minorHAnsi" w:hAnsiTheme="minorHAnsi" w:cstheme="minorHAnsi"/>
          <w:i w:val="0"/>
          <w:iCs w:val="0"/>
          <w:color w:val="auto"/>
        </w:rPr>
        <w:t>Manifestations of DTAILs</w:t>
      </w:r>
    </w:p>
    <w:tbl>
      <w:tblPr>
        <w:tblStyle w:val="TableGrid"/>
        <w:tblW w:w="9071" w:type="dxa"/>
        <w:tblCellMar>
          <w:top w:w="23" w:type="dxa"/>
          <w:left w:w="28" w:type="dxa"/>
          <w:bottom w:w="23" w:type="dxa"/>
          <w:right w:w="57" w:type="dxa"/>
        </w:tblCellMar>
        <w:tblLook w:val="04A0" w:firstRow="1" w:lastRow="0" w:firstColumn="1" w:lastColumn="0" w:noHBand="0" w:noVBand="1"/>
      </w:tblPr>
      <w:tblGrid>
        <w:gridCol w:w="283"/>
        <w:gridCol w:w="1844"/>
        <w:gridCol w:w="6944"/>
      </w:tblGrid>
      <w:tr w:rsidR="00547BFA" w:rsidRPr="002B79C1" w14:paraId="53FE1114" w14:textId="77777777" w:rsidTr="007C57E6">
        <w:trPr>
          <w:trHeight w:val="283"/>
        </w:trPr>
        <w:tc>
          <w:tcPr>
            <w:tcW w:w="283" w:type="dxa"/>
            <w:vMerge w:val="restart"/>
            <w:tcBorders>
              <w:left w:val="nil"/>
              <w:right w:val="nil"/>
            </w:tcBorders>
            <w:shd w:val="clear" w:color="auto" w:fill="auto"/>
            <w:tcMar>
              <w:top w:w="57" w:type="dxa"/>
              <w:bottom w:w="57" w:type="dxa"/>
            </w:tcMar>
            <w:vAlign w:val="center"/>
          </w:tcPr>
          <w:p w14:paraId="27C3D4B1" w14:textId="77777777" w:rsidR="00547BFA" w:rsidRPr="002B79C1" w:rsidRDefault="00547BFA" w:rsidP="004B6683">
            <w:pPr>
              <w:spacing w:line="240" w:lineRule="auto"/>
              <w:rPr>
                <w:rFonts w:asciiTheme="minorHAnsi" w:hAnsiTheme="minorHAnsi" w:cstheme="minorHAnsi"/>
                <w:b/>
                <w:sz w:val="18"/>
                <w:szCs w:val="18"/>
                <w:lang w:eastAsia="de-DE"/>
              </w:rPr>
            </w:pPr>
            <w:r w:rsidRPr="002B79C1">
              <w:rPr>
                <w:rFonts w:asciiTheme="minorHAnsi" w:hAnsiTheme="minorHAnsi" w:cstheme="minorHAnsi"/>
                <w:b/>
                <w:sz w:val="18"/>
                <w:szCs w:val="18"/>
              </w:rPr>
              <w:t>ID</w:t>
            </w:r>
          </w:p>
        </w:tc>
        <w:tc>
          <w:tcPr>
            <w:tcW w:w="1844" w:type="dxa"/>
            <w:vMerge w:val="restart"/>
            <w:tcBorders>
              <w:left w:val="nil"/>
              <w:right w:val="nil"/>
            </w:tcBorders>
            <w:vAlign w:val="center"/>
          </w:tcPr>
          <w:p w14:paraId="1EC3589A" w14:textId="77777777" w:rsidR="00547BFA" w:rsidRPr="002B79C1" w:rsidRDefault="00547BFA" w:rsidP="004B6683">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Manifestation</w:t>
            </w:r>
          </w:p>
        </w:tc>
        <w:tc>
          <w:tcPr>
            <w:tcW w:w="6944" w:type="dxa"/>
            <w:tcBorders>
              <w:left w:val="nil"/>
              <w:right w:val="nil"/>
            </w:tcBorders>
            <w:vAlign w:val="center"/>
          </w:tcPr>
          <w:p w14:paraId="52AD0DFA" w14:textId="6B11B5F0" w:rsidR="00547BFA" w:rsidRPr="002B79C1" w:rsidRDefault="00547BFA" w:rsidP="004B6683">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 xml:space="preserve">Explanation </w:t>
            </w:r>
          </w:p>
        </w:tc>
      </w:tr>
      <w:tr w:rsidR="00547BFA" w:rsidRPr="002B79C1" w14:paraId="5BC53FEF" w14:textId="77777777" w:rsidTr="007C57E6">
        <w:trPr>
          <w:trHeight w:val="283"/>
        </w:trPr>
        <w:tc>
          <w:tcPr>
            <w:tcW w:w="283" w:type="dxa"/>
            <w:vMerge/>
            <w:tcBorders>
              <w:left w:val="nil"/>
              <w:right w:val="nil"/>
            </w:tcBorders>
            <w:shd w:val="clear" w:color="auto" w:fill="auto"/>
            <w:tcMar>
              <w:top w:w="57" w:type="dxa"/>
              <w:bottom w:w="57" w:type="dxa"/>
            </w:tcMar>
            <w:vAlign w:val="center"/>
          </w:tcPr>
          <w:p w14:paraId="2B22E41D" w14:textId="77777777" w:rsidR="00547BFA" w:rsidRPr="002B79C1" w:rsidRDefault="00547BFA" w:rsidP="004B6683">
            <w:pPr>
              <w:spacing w:line="240" w:lineRule="auto"/>
              <w:rPr>
                <w:rFonts w:asciiTheme="minorHAnsi" w:hAnsiTheme="minorHAnsi" w:cstheme="minorHAnsi"/>
                <w:b/>
                <w:sz w:val="18"/>
                <w:szCs w:val="18"/>
              </w:rPr>
            </w:pPr>
          </w:p>
        </w:tc>
        <w:tc>
          <w:tcPr>
            <w:tcW w:w="1844" w:type="dxa"/>
            <w:vMerge/>
            <w:tcBorders>
              <w:left w:val="nil"/>
              <w:right w:val="nil"/>
            </w:tcBorders>
            <w:vAlign w:val="center"/>
          </w:tcPr>
          <w:p w14:paraId="74960805" w14:textId="77777777" w:rsidR="00547BFA" w:rsidRPr="002B79C1" w:rsidRDefault="00547BFA" w:rsidP="004B6683">
            <w:pPr>
              <w:spacing w:line="240" w:lineRule="auto"/>
              <w:rPr>
                <w:rFonts w:asciiTheme="minorHAnsi" w:hAnsiTheme="minorHAnsi" w:cstheme="minorHAnsi"/>
                <w:b/>
                <w:sz w:val="18"/>
                <w:szCs w:val="18"/>
              </w:rPr>
            </w:pPr>
          </w:p>
        </w:tc>
        <w:tc>
          <w:tcPr>
            <w:tcW w:w="6944" w:type="dxa"/>
            <w:tcBorders>
              <w:left w:val="nil"/>
              <w:right w:val="nil"/>
            </w:tcBorders>
            <w:vAlign w:val="center"/>
          </w:tcPr>
          <w:p w14:paraId="3E0187D8" w14:textId="504BF351" w:rsidR="00547BFA" w:rsidRPr="002B79C1" w:rsidRDefault="00547BFA" w:rsidP="004B6683">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Sources</w:t>
            </w:r>
          </w:p>
        </w:tc>
      </w:tr>
      <w:tr w:rsidR="00405BC5" w:rsidRPr="002B79C1" w14:paraId="280FC212" w14:textId="77777777" w:rsidTr="007C57E6">
        <w:tc>
          <w:tcPr>
            <w:tcW w:w="283" w:type="dxa"/>
            <w:vMerge w:val="restart"/>
            <w:tcBorders>
              <w:top w:val="single" w:sz="4" w:space="0" w:color="auto"/>
              <w:left w:val="nil"/>
              <w:right w:val="nil"/>
            </w:tcBorders>
            <w:tcMar>
              <w:top w:w="57" w:type="dxa"/>
              <w:bottom w:w="57" w:type="dxa"/>
            </w:tcMar>
            <w:vAlign w:val="center"/>
          </w:tcPr>
          <w:p w14:paraId="54E1FD43" w14:textId="77777777" w:rsidR="00405BC5" w:rsidRPr="002B79C1" w:rsidRDefault="00405BC5" w:rsidP="004B6683">
            <w:pPr>
              <w:spacing w:line="240" w:lineRule="auto"/>
              <w:rPr>
                <w:rFonts w:asciiTheme="minorHAnsi" w:hAnsiTheme="minorHAnsi" w:cstheme="minorHAnsi"/>
                <w:b/>
                <w:sz w:val="18"/>
                <w:szCs w:val="18"/>
                <w:lang w:eastAsia="de-DE"/>
              </w:rPr>
            </w:pPr>
            <w:r w:rsidRPr="002B79C1">
              <w:rPr>
                <w:rFonts w:asciiTheme="minorHAnsi" w:hAnsiTheme="minorHAnsi" w:cstheme="minorHAnsi"/>
                <w:b/>
                <w:sz w:val="18"/>
                <w:szCs w:val="18"/>
              </w:rPr>
              <w:t>1</w:t>
            </w:r>
          </w:p>
        </w:tc>
        <w:tc>
          <w:tcPr>
            <w:tcW w:w="1844" w:type="dxa"/>
            <w:vMerge w:val="restart"/>
            <w:tcBorders>
              <w:top w:val="single" w:sz="4" w:space="0" w:color="auto"/>
              <w:left w:val="nil"/>
              <w:right w:val="nil"/>
            </w:tcBorders>
            <w:vAlign w:val="center"/>
          </w:tcPr>
          <w:p w14:paraId="7CBDDABD" w14:textId="77777777" w:rsidR="00405BC5" w:rsidRPr="002B79C1" w:rsidRDefault="00405BC5" w:rsidP="004B6683">
            <w:pPr>
              <w:spacing w:line="240" w:lineRule="auto"/>
              <w:rPr>
                <w:rFonts w:asciiTheme="minorHAnsi" w:hAnsiTheme="minorHAnsi" w:cstheme="minorHAnsi"/>
                <w:b/>
                <w:sz w:val="18"/>
                <w:szCs w:val="18"/>
              </w:rPr>
            </w:pPr>
            <w:r w:rsidRPr="002B79C1">
              <w:rPr>
                <w:rFonts w:asciiTheme="minorHAnsi" w:hAnsiTheme="minorHAnsi" w:cstheme="minorHAnsi"/>
                <w:b/>
                <w:sz w:val="18"/>
                <w:szCs w:val="18"/>
                <w:lang w:eastAsia="de-DE"/>
              </w:rPr>
              <w:t>Data Access</w:t>
            </w:r>
          </w:p>
        </w:tc>
        <w:tc>
          <w:tcPr>
            <w:tcW w:w="6944" w:type="dxa"/>
            <w:tcBorders>
              <w:left w:val="nil"/>
              <w:right w:val="nil"/>
            </w:tcBorders>
            <w:vAlign w:val="center"/>
          </w:tcPr>
          <w:p w14:paraId="5A707A46" w14:textId="0AD8650E" w:rsidR="00405BC5" w:rsidRPr="002B79C1" w:rsidRDefault="00405BC5" w:rsidP="007C53A4">
            <w:pPr>
              <w:spacing w:line="240" w:lineRule="auto"/>
              <w:ind w:left="284" w:hanging="284"/>
              <w:contextualSpacing/>
              <w:rPr>
                <w:rFonts w:asciiTheme="minorHAnsi" w:hAnsiTheme="minorHAnsi" w:cstheme="minorHAnsi"/>
                <w:color w:val="000000"/>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location-independent access to information by providing operational information</w:t>
            </w:r>
            <w:r w:rsidRPr="002B79C1">
              <w:rPr>
                <w:rFonts w:asciiTheme="minorHAnsi" w:hAnsiTheme="minorHAnsi" w:cstheme="minorHAnsi"/>
                <w:sz w:val="18"/>
                <w:szCs w:val="18"/>
              </w:rPr>
              <w:t xml:space="preserve"> (e.g., order status, machine availability, inventory status, transport capacity, current position, processing status, quality defects) at any time.</w:t>
            </w:r>
          </w:p>
        </w:tc>
      </w:tr>
      <w:tr w:rsidR="00405BC5" w:rsidRPr="002B79C1" w14:paraId="4A557D57" w14:textId="77777777" w:rsidTr="007C57E6">
        <w:tc>
          <w:tcPr>
            <w:tcW w:w="283" w:type="dxa"/>
            <w:vMerge/>
            <w:tcBorders>
              <w:left w:val="nil"/>
              <w:bottom w:val="single" w:sz="4" w:space="0" w:color="auto"/>
              <w:right w:val="nil"/>
            </w:tcBorders>
            <w:tcMar>
              <w:top w:w="57" w:type="dxa"/>
              <w:bottom w:w="57" w:type="dxa"/>
            </w:tcMar>
            <w:vAlign w:val="center"/>
          </w:tcPr>
          <w:p w14:paraId="7A2B27E8" w14:textId="77777777" w:rsidR="00405BC5" w:rsidRPr="002B79C1" w:rsidRDefault="00405BC5" w:rsidP="004B6683">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64A6E9B6" w14:textId="77777777" w:rsidR="00405BC5" w:rsidRPr="002B79C1" w:rsidRDefault="00405BC5" w:rsidP="004B6683">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0A110766" w14:textId="73FC522E" w:rsidR="00405BC5" w:rsidRPr="002B79C1" w:rsidRDefault="00405BC5" w:rsidP="004B6683">
            <w:pPr>
              <w:spacing w:line="240" w:lineRule="auto"/>
              <w:contextualSpacing/>
              <w:rPr>
                <w:rFonts w:asciiTheme="minorHAnsi" w:hAnsiTheme="minorHAnsi" w:cstheme="minorHAnsi"/>
                <w:color w:val="000000"/>
                <w:sz w:val="18"/>
                <w:szCs w:val="18"/>
              </w:rPr>
            </w:pPr>
            <w:r w:rsidRPr="002B79C1">
              <w:rPr>
                <w:rFonts w:asciiTheme="minorHAnsi" w:hAnsiTheme="minorHAnsi" w:cstheme="minorHAnsi"/>
                <w:color w:val="000000"/>
                <w:sz w:val="18"/>
                <w:szCs w:val="18"/>
              </w:rPr>
              <w:t>Dolgui and Ivanov (2022), Frank et al. (2019), Fraunhofer (2016), IBM and Celonis (2022), Miebach Consulting GmbH (2018), PwC (2020), Rejeb et al. (2021)</w:t>
            </w:r>
          </w:p>
        </w:tc>
      </w:tr>
      <w:tr w:rsidR="00344C28" w:rsidRPr="002B79C1" w14:paraId="5F90132F" w14:textId="77777777" w:rsidTr="007C57E6">
        <w:tc>
          <w:tcPr>
            <w:tcW w:w="283" w:type="dxa"/>
            <w:vMerge w:val="restart"/>
            <w:tcBorders>
              <w:top w:val="single" w:sz="4" w:space="0" w:color="auto"/>
              <w:left w:val="nil"/>
              <w:right w:val="nil"/>
            </w:tcBorders>
            <w:tcMar>
              <w:top w:w="57" w:type="dxa"/>
              <w:bottom w:w="57" w:type="dxa"/>
            </w:tcMar>
            <w:vAlign w:val="center"/>
          </w:tcPr>
          <w:p w14:paraId="129E4EDD" w14:textId="6FC0841F" w:rsidR="00344C28" w:rsidRPr="002B79C1" w:rsidRDefault="00344C28" w:rsidP="004B6683">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2</w:t>
            </w:r>
          </w:p>
        </w:tc>
        <w:tc>
          <w:tcPr>
            <w:tcW w:w="1844" w:type="dxa"/>
            <w:vMerge w:val="restart"/>
            <w:tcBorders>
              <w:top w:val="single" w:sz="4" w:space="0" w:color="auto"/>
              <w:left w:val="nil"/>
              <w:right w:val="nil"/>
            </w:tcBorders>
            <w:vAlign w:val="center"/>
          </w:tcPr>
          <w:p w14:paraId="5E442510" w14:textId="77777777" w:rsidR="00344C28" w:rsidRPr="002B79C1" w:rsidRDefault="00344C28" w:rsidP="004B6683">
            <w:pPr>
              <w:spacing w:line="240" w:lineRule="auto"/>
              <w:rPr>
                <w:rFonts w:asciiTheme="minorHAnsi" w:hAnsiTheme="minorHAnsi" w:cstheme="minorHAnsi"/>
                <w:b/>
                <w:color w:val="000000"/>
                <w:sz w:val="18"/>
                <w:szCs w:val="18"/>
              </w:rPr>
            </w:pPr>
            <w:r w:rsidRPr="002B79C1">
              <w:rPr>
                <w:rFonts w:asciiTheme="minorHAnsi" w:hAnsiTheme="minorHAnsi" w:cstheme="minorHAnsi"/>
                <w:b/>
                <w:sz w:val="18"/>
                <w:szCs w:val="18"/>
                <w:lang w:eastAsia="de-DE"/>
              </w:rPr>
              <w:t>Data Availability</w:t>
            </w:r>
          </w:p>
        </w:tc>
        <w:tc>
          <w:tcPr>
            <w:tcW w:w="6944" w:type="dxa"/>
            <w:tcBorders>
              <w:left w:val="nil"/>
              <w:right w:val="nil"/>
            </w:tcBorders>
            <w:vAlign w:val="center"/>
          </w:tcPr>
          <w:p w14:paraId="2248D7EB" w14:textId="69BED3E2" w:rsidR="00344C28" w:rsidRPr="002B79C1" w:rsidRDefault="00344C28" w:rsidP="007C53A4">
            <w:pPr>
              <w:spacing w:line="240" w:lineRule="auto"/>
              <w:ind w:left="284" w:hanging="284"/>
              <w:contextualSpacing/>
              <w:rPr>
                <w:rFonts w:asciiTheme="minorHAnsi" w:hAnsiTheme="minorHAnsi" w:cstheme="minorHAnsi"/>
                <w:color w:val="000000"/>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location-independent availability of information</w:t>
            </w:r>
            <w:r w:rsidRPr="002B79C1">
              <w:rPr>
                <w:rFonts w:asciiTheme="minorHAnsi" w:hAnsiTheme="minorHAnsi" w:cstheme="minorHAnsi"/>
                <w:sz w:val="18"/>
                <w:szCs w:val="18"/>
              </w:rPr>
              <w:t xml:space="preserve"> from geographically distributed facilities by transmitting, storing, and sharing data (e.g., machine performance, environmental conditions, energy consumption, inventory status, material flow) in real-time.</w:t>
            </w:r>
          </w:p>
        </w:tc>
      </w:tr>
      <w:tr w:rsidR="00344C28" w:rsidRPr="002B79C1" w14:paraId="0B2C1597" w14:textId="77777777" w:rsidTr="007C57E6">
        <w:tc>
          <w:tcPr>
            <w:tcW w:w="283" w:type="dxa"/>
            <w:vMerge/>
            <w:tcBorders>
              <w:left w:val="nil"/>
              <w:bottom w:val="single" w:sz="4" w:space="0" w:color="auto"/>
              <w:right w:val="nil"/>
            </w:tcBorders>
            <w:tcMar>
              <w:top w:w="57" w:type="dxa"/>
              <w:bottom w:w="57" w:type="dxa"/>
            </w:tcMar>
            <w:vAlign w:val="center"/>
          </w:tcPr>
          <w:p w14:paraId="04E50B64" w14:textId="77777777" w:rsidR="00344C28" w:rsidRPr="002B79C1" w:rsidRDefault="00344C28" w:rsidP="00344C28">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61F2A2F7" w14:textId="77777777" w:rsidR="00344C28" w:rsidRPr="002B79C1" w:rsidRDefault="00344C28" w:rsidP="00344C28">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4AAA87E4" w14:textId="30239438" w:rsidR="00344C28" w:rsidRPr="002B79C1" w:rsidRDefault="00344C28" w:rsidP="00344C28">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 xml:space="preserve">Calatayud et al. (2019), Capgemini Consulting (2011), Chung (2021), Cole et al. (2019), Coronado Mondragon et al. (2017), Dai et al. (2016), DHL and Cisco (2015), DHL and Detecon (2016), Dolgui and Ivanov (2022), Fescioglu-Unver et al. </w:t>
            </w:r>
            <w:r w:rsidRPr="002B79C1">
              <w:rPr>
                <w:rFonts w:asciiTheme="minorHAnsi" w:hAnsiTheme="minorHAnsi" w:cstheme="minorHAnsi"/>
                <w:color w:val="000000"/>
                <w:sz w:val="18"/>
                <w:szCs w:val="18"/>
                <w:lang w:val="de-DE"/>
              </w:rPr>
              <w:t xml:space="preserve">(2015), Fraunhofer (2016), Gartner (2022), Jun et al. (2018), Kache and Seuring (2017), Kochan et al. </w:t>
            </w:r>
            <w:r w:rsidRPr="002B79C1">
              <w:rPr>
                <w:rFonts w:asciiTheme="minorHAnsi" w:hAnsiTheme="minorHAnsi" w:cstheme="minorHAnsi"/>
                <w:color w:val="000000"/>
                <w:sz w:val="18"/>
                <w:szCs w:val="18"/>
              </w:rPr>
              <w:t>(2018), Oliveira and Handfield (2019), Oliveira-Dias et al. (2022), PwC (2020), Saberi et al. (2019), Sanders and Ganeshan (2018), Tran-Dang et al. (2017), Y. Wang et al. (2019)</w:t>
            </w:r>
          </w:p>
        </w:tc>
      </w:tr>
      <w:tr w:rsidR="00C6090F" w:rsidRPr="002B79C1" w14:paraId="6C5B6536" w14:textId="77777777" w:rsidTr="007C57E6">
        <w:tc>
          <w:tcPr>
            <w:tcW w:w="283" w:type="dxa"/>
            <w:vMerge w:val="restart"/>
            <w:tcBorders>
              <w:top w:val="single" w:sz="4" w:space="0" w:color="auto"/>
              <w:left w:val="nil"/>
              <w:right w:val="nil"/>
            </w:tcBorders>
            <w:tcMar>
              <w:top w:w="57" w:type="dxa"/>
              <w:bottom w:w="57" w:type="dxa"/>
            </w:tcMar>
            <w:vAlign w:val="center"/>
          </w:tcPr>
          <w:p w14:paraId="7916F9CA" w14:textId="2AA63B78" w:rsidR="00C6090F" w:rsidRPr="002B79C1" w:rsidRDefault="00C6090F" w:rsidP="00344C28">
            <w:pPr>
              <w:spacing w:line="240" w:lineRule="auto"/>
              <w:rPr>
                <w:rFonts w:asciiTheme="minorHAnsi" w:hAnsiTheme="minorHAnsi" w:cstheme="minorHAnsi"/>
                <w:b/>
                <w:sz w:val="18"/>
                <w:szCs w:val="18"/>
                <w:lang w:eastAsia="de-DE"/>
              </w:rPr>
            </w:pPr>
            <w:r w:rsidRPr="002B79C1">
              <w:rPr>
                <w:rFonts w:asciiTheme="minorHAnsi" w:hAnsiTheme="minorHAnsi" w:cstheme="minorHAnsi"/>
                <w:b/>
                <w:sz w:val="18"/>
                <w:szCs w:val="18"/>
              </w:rPr>
              <w:t>3</w:t>
            </w:r>
          </w:p>
        </w:tc>
        <w:tc>
          <w:tcPr>
            <w:tcW w:w="1844" w:type="dxa"/>
            <w:vMerge w:val="restart"/>
            <w:tcBorders>
              <w:top w:val="single" w:sz="4" w:space="0" w:color="auto"/>
              <w:left w:val="nil"/>
              <w:right w:val="nil"/>
            </w:tcBorders>
            <w:vAlign w:val="center"/>
          </w:tcPr>
          <w:p w14:paraId="0179A4EF" w14:textId="77777777" w:rsidR="00C6090F" w:rsidRPr="002B79C1" w:rsidRDefault="00C6090F" w:rsidP="00344C28">
            <w:pPr>
              <w:spacing w:line="240" w:lineRule="auto"/>
              <w:rPr>
                <w:rFonts w:asciiTheme="minorHAnsi" w:hAnsiTheme="minorHAnsi" w:cstheme="minorHAnsi"/>
                <w:b/>
                <w:color w:val="000000"/>
                <w:sz w:val="18"/>
                <w:szCs w:val="18"/>
              </w:rPr>
            </w:pPr>
            <w:r w:rsidRPr="002B79C1">
              <w:rPr>
                <w:rFonts w:asciiTheme="minorHAnsi" w:hAnsiTheme="minorHAnsi" w:cstheme="minorHAnsi"/>
                <w:b/>
                <w:sz w:val="18"/>
                <w:szCs w:val="18"/>
                <w:lang w:eastAsia="de-DE"/>
              </w:rPr>
              <w:t>Data Collection</w:t>
            </w:r>
          </w:p>
        </w:tc>
        <w:tc>
          <w:tcPr>
            <w:tcW w:w="6944" w:type="dxa"/>
            <w:tcBorders>
              <w:left w:val="nil"/>
              <w:right w:val="nil"/>
            </w:tcBorders>
            <w:vAlign w:val="center"/>
          </w:tcPr>
          <w:p w14:paraId="039AFFFE" w14:textId="7E3F1786" w:rsidR="00C6090F" w:rsidRPr="002B79C1" w:rsidRDefault="00C6090F" w:rsidP="007C53A4">
            <w:pPr>
              <w:spacing w:line="240" w:lineRule="auto"/>
              <w:ind w:left="284" w:hanging="284"/>
              <w:contextualSpacing/>
              <w:rPr>
                <w:rFonts w:asciiTheme="minorHAnsi" w:hAnsiTheme="minorHAnsi" w:cstheme="minorHAnsi"/>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provision of data from the physical goods flow</w:t>
            </w:r>
            <w:r w:rsidRPr="002B79C1">
              <w:rPr>
                <w:rFonts w:asciiTheme="minorHAnsi" w:hAnsiTheme="minorHAnsi" w:cstheme="minorHAnsi"/>
                <w:sz w:val="18"/>
                <w:szCs w:val="18"/>
              </w:rPr>
              <w:t xml:space="preserve"> for further processing and precise, fact-based decision-making (e.g., in the areas of scheduling and planning, coordination, automation, optimization, monitoring, knowledge extraction, and controlling) by collecting real-time data along the entire physical supply chain.</w:t>
            </w:r>
          </w:p>
        </w:tc>
      </w:tr>
      <w:tr w:rsidR="00C6090F" w:rsidRPr="002B79C1" w14:paraId="44B18F3C" w14:textId="77777777" w:rsidTr="007C57E6">
        <w:tc>
          <w:tcPr>
            <w:tcW w:w="283" w:type="dxa"/>
            <w:vMerge/>
            <w:tcBorders>
              <w:left w:val="nil"/>
              <w:bottom w:val="single" w:sz="4" w:space="0" w:color="auto"/>
              <w:right w:val="nil"/>
            </w:tcBorders>
            <w:tcMar>
              <w:top w:w="57" w:type="dxa"/>
              <w:bottom w:w="57" w:type="dxa"/>
            </w:tcMar>
            <w:vAlign w:val="center"/>
          </w:tcPr>
          <w:p w14:paraId="4294E15F"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6496E03D"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33BF15BC" w14:textId="62909DBE" w:rsidR="00C6090F" w:rsidRPr="002B79C1" w:rsidRDefault="00C6090F"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Bogataj et al. (2017), Bowles and Lu (2014), Calatayud et al. (2019), Coronado Mondragon et al. (2017), DHL and Detecon (2016), Dolgui and Ivanov (2022), Han et al. (2017), Kembro et al. (2017), C. Lee et al. (2018), Nabelsi and Gagnon (2017), Nayernia et al. (2021), Núñez-Merino et al. (2020), Rejeb et al. (2021), Sanders and Ganeshan (2018), Shu and Barton (2012), Zhong et al. (2015), Zhong et al. (2017), Yang et al. (2021)</w:t>
            </w:r>
          </w:p>
        </w:tc>
      </w:tr>
      <w:tr w:rsidR="00C6090F" w:rsidRPr="002B79C1" w14:paraId="0E231984" w14:textId="77777777" w:rsidTr="007C57E6">
        <w:tc>
          <w:tcPr>
            <w:tcW w:w="283" w:type="dxa"/>
            <w:vMerge w:val="restart"/>
            <w:tcBorders>
              <w:top w:val="single" w:sz="4" w:space="0" w:color="auto"/>
              <w:left w:val="nil"/>
              <w:right w:val="nil"/>
            </w:tcBorders>
            <w:tcMar>
              <w:top w:w="57" w:type="dxa"/>
              <w:bottom w:w="57" w:type="dxa"/>
            </w:tcMar>
            <w:vAlign w:val="center"/>
          </w:tcPr>
          <w:p w14:paraId="79107EE6" w14:textId="13951B93" w:rsidR="00C6090F" w:rsidRPr="002B79C1" w:rsidRDefault="00C6090F"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4</w:t>
            </w:r>
          </w:p>
        </w:tc>
        <w:tc>
          <w:tcPr>
            <w:tcW w:w="1844" w:type="dxa"/>
            <w:vMerge w:val="restart"/>
            <w:tcBorders>
              <w:top w:val="single" w:sz="4" w:space="0" w:color="auto"/>
              <w:left w:val="nil"/>
              <w:right w:val="nil"/>
            </w:tcBorders>
            <w:vAlign w:val="center"/>
          </w:tcPr>
          <w:p w14:paraId="08E14122" w14:textId="77777777" w:rsidR="00C6090F" w:rsidRPr="002B79C1" w:rsidRDefault="00C6090F"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lang w:eastAsia="de-DE"/>
              </w:rPr>
              <w:t>Horizontal Integration</w:t>
            </w:r>
          </w:p>
        </w:tc>
        <w:tc>
          <w:tcPr>
            <w:tcW w:w="6944" w:type="dxa"/>
            <w:tcBorders>
              <w:left w:val="nil"/>
              <w:right w:val="nil"/>
            </w:tcBorders>
            <w:vAlign w:val="center"/>
          </w:tcPr>
          <w:p w14:paraId="5964E146" w14:textId="3A43EE03" w:rsidR="00C6090F" w:rsidRPr="002B79C1" w:rsidRDefault="00C6090F" w:rsidP="00C605D4">
            <w:pPr>
              <w:spacing w:line="240" w:lineRule="auto"/>
              <w:ind w:left="284" w:hanging="284"/>
              <w:contextualSpacing/>
              <w:rPr>
                <w:rFonts w:asciiTheme="minorHAnsi" w:hAnsiTheme="minorHAnsi" w:cstheme="minorHAnsi"/>
                <w:color w:val="000000"/>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horizontal integration</w:t>
            </w:r>
            <w:r w:rsidRPr="002B79C1">
              <w:rPr>
                <w:rFonts w:asciiTheme="minorHAnsi" w:hAnsiTheme="minorHAnsi" w:cstheme="minorHAnsi"/>
                <w:sz w:val="18"/>
                <w:szCs w:val="18"/>
              </w:rPr>
              <w:t xml:space="preserve"> between processes of different units and functions in the supply chain (e.g., connecting manufacturing, finance, and human resources) by storing and processing data for multi-functional and multi-site supply chains in a common data network.</w:t>
            </w:r>
          </w:p>
        </w:tc>
      </w:tr>
      <w:tr w:rsidR="00C6090F" w:rsidRPr="002B79C1" w14:paraId="15793666" w14:textId="77777777" w:rsidTr="007C57E6">
        <w:tc>
          <w:tcPr>
            <w:tcW w:w="283" w:type="dxa"/>
            <w:vMerge/>
            <w:tcBorders>
              <w:left w:val="nil"/>
              <w:bottom w:val="single" w:sz="4" w:space="0" w:color="auto"/>
              <w:right w:val="nil"/>
            </w:tcBorders>
            <w:tcMar>
              <w:top w:w="57" w:type="dxa"/>
              <w:bottom w:w="57" w:type="dxa"/>
            </w:tcMar>
            <w:vAlign w:val="center"/>
          </w:tcPr>
          <w:p w14:paraId="12525A98"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7C6A250C"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4AF0DDC9" w14:textId="7B924431" w:rsidR="00C6090F" w:rsidRPr="002B79C1" w:rsidRDefault="00C6090F"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 xml:space="preserve">Ardalan and Diaz (2012b), Capgemini Consulting (2011), Cole et al. (2019), DHL and Detecon (2016), Dolgui and Ivanov (2022), Fescioglu-Unver et al. </w:t>
            </w:r>
            <w:r w:rsidRPr="002B79C1">
              <w:rPr>
                <w:rFonts w:asciiTheme="minorHAnsi" w:hAnsiTheme="minorHAnsi" w:cstheme="minorHAnsi"/>
                <w:color w:val="000000"/>
                <w:sz w:val="18"/>
                <w:szCs w:val="18"/>
                <w:lang w:val="de-DE"/>
              </w:rPr>
              <w:t xml:space="preserve">(2015), Frank et al. (2019), Kembro et al. (2017), C. Lee et al. (2018), Meindl et al. (2021), Nayernia et al. (2021), Núñez-Merino et al. </w:t>
            </w:r>
            <w:r w:rsidRPr="002B79C1">
              <w:rPr>
                <w:rFonts w:asciiTheme="minorHAnsi" w:hAnsiTheme="minorHAnsi" w:cstheme="minorHAnsi"/>
                <w:color w:val="000000"/>
                <w:sz w:val="18"/>
                <w:szCs w:val="18"/>
              </w:rPr>
              <w:t>(2020), Oliveira-Dias et al. (2022), PwC (2020), PwC and Strategy&amp; (2016), Shao et al. (2021), Shee et al. (2018)</w:t>
            </w:r>
          </w:p>
        </w:tc>
      </w:tr>
      <w:tr w:rsidR="00C6090F" w:rsidRPr="002B79C1" w14:paraId="2AD057E4" w14:textId="77777777" w:rsidTr="007C57E6">
        <w:trPr>
          <w:trHeight w:val="13"/>
        </w:trPr>
        <w:tc>
          <w:tcPr>
            <w:tcW w:w="283" w:type="dxa"/>
            <w:vMerge w:val="restart"/>
            <w:tcBorders>
              <w:top w:val="single" w:sz="4" w:space="0" w:color="auto"/>
              <w:left w:val="nil"/>
              <w:right w:val="nil"/>
            </w:tcBorders>
            <w:tcMar>
              <w:top w:w="57" w:type="dxa"/>
              <w:bottom w:w="57" w:type="dxa"/>
            </w:tcMar>
            <w:vAlign w:val="center"/>
          </w:tcPr>
          <w:p w14:paraId="75125C65" w14:textId="179DDC6D" w:rsidR="00C6090F" w:rsidRPr="002B79C1" w:rsidRDefault="00C6090F"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5</w:t>
            </w:r>
          </w:p>
        </w:tc>
        <w:tc>
          <w:tcPr>
            <w:tcW w:w="1844" w:type="dxa"/>
            <w:vMerge w:val="restart"/>
            <w:tcBorders>
              <w:top w:val="single" w:sz="4" w:space="0" w:color="auto"/>
              <w:left w:val="nil"/>
              <w:right w:val="nil"/>
            </w:tcBorders>
            <w:vAlign w:val="center"/>
          </w:tcPr>
          <w:p w14:paraId="5C6F7737" w14:textId="77777777" w:rsidR="00C6090F" w:rsidRPr="002B79C1" w:rsidRDefault="00C6090F"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lang w:eastAsia="de-DE"/>
              </w:rPr>
              <w:t>Information Exchange</w:t>
            </w:r>
          </w:p>
        </w:tc>
        <w:tc>
          <w:tcPr>
            <w:tcW w:w="6944" w:type="dxa"/>
            <w:tcBorders>
              <w:left w:val="nil"/>
              <w:right w:val="nil"/>
            </w:tcBorders>
            <w:vAlign w:val="center"/>
          </w:tcPr>
          <w:p w14:paraId="3CDDFA19" w14:textId="5AB188C9" w:rsidR="00C6090F" w:rsidRPr="002B79C1" w:rsidRDefault="00C6090F" w:rsidP="00C605D4">
            <w:pPr>
              <w:spacing w:line="240" w:lineRule="auto"/>
              <w:ind w:left="284" w:hanging="284"/>
              <w:contextualSpacing/>
              <w:rPr>
                <w:rFonts w:asciiTheme="minorHAnsi" w:hAnsiTheme="minorHAnsi" w:cstheme="minorHAnsi"/>
                <w:color w:val="000000"/>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real-time information exchange</w:t>
            </w:r>
            <w:r w:rsidRPr="002B79C1">
              <w:rPr>
                <w:rFonts w:asciiTheme="minorHAnsi" w:hAnsiTheme="minorHAnsi" w:cstheme="minorHAnsi"/>
                <w:sz w:val="18"/>
                <w:szCs w:val="18"/>
              </w:rPr>
              <w:t xml:space="preserve"> between different units and functions in the supply chain by facilitating a seamless information flow across different applications, modes, and actors.</w:t>
            </w:r>
          </w:p>
        </w:tc>
      </w:tr>
      <w:tr w:rsidR="00C6090F" w:rsidRPr="002B79C1" w14:paraId="0A7E8DB3" w14:textId="77777777" w:rsidTr="007C57E6">
        <w:trPr>
          <w:trHeight w:val="13"/>
        </w:trPr>
        <w:tc>
          <w:tcPr>
            <w:tcW w:w="283" w:type="dxa"/>
            <w:vMerge/>
            <w:tcBorders>
              <w:left w:val="nil"/>
              <w:bottom w:val="single" w:sz="4" w:space="0" w:color="auto"/>
              <w:right w:val="nil"/>
            </w:tcBorders>
            <w:tcMar>
              <w:top w:w="57" w:type="dxa"/>
              <w:bottom w:w="57" w:type="dxa"/>
            </w:tcMar>
            <w:vAlign w:val="center"/>
          </w:tcPr>
          <w:p w14:paraId="12CD34F0"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6574A3A4"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6B85E3BC" w14:textId="002F1D39" w:rsidR="00C6090F" w:rsidRPr="002B79C1" w:rsidRDefault="00C6090F"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 xml:space="preserve">Ardalan and Diaz (2012b), Bhakoo et al. (2015), Calatayud et al. (2019), Chung (2021), Coronado Mondragon et al. (2017), DHL and Cisco (2015), Dolgui and Ivanov (2022), Fosso Wamba and Chatfield (2011), Frank et al. </w:t>
            </w:r>
            <w:r w:rsidRPr="002B79C1">
              <w:rPr>
                <w:rFonts w:asciiTheme="minorHAnsi" w:hAnsiTheme="minorHAnsi" w:cstheme="minorHAnsi"/>
                <w:color w:val="000000"/>
                <w:sz w:val="18"/>
                <w:szCs w:val="18"/>
                <w:lang w:val="de-DE"/>
              </w:rPr>
              <w:t xml:space="preserve">(2019), Fraunhofer (2016), Gartner (2022), Kembro et al. (2017), Kochan et al. (2018), Margherita and Braccini (2020), Núñez-Merino et al. </w:t>
            </w:r>
            <w:r w:rsidRPr="002B79C1">
              <w:rPr>
                <w:rFonts w:asciiTheme="minorHAnsi" w:hAnsiTheme="minorHAnsi" w:cstheme="minorHAnsi"/>
                <w:color w:val="000000"/>
                <w:sz w:val="18"/>
                <w:szCs w:val="18"/>
              </w:rPr>
              <w:t>(2020), Oliveira-Dias et al. (2022), PwC (2019), PwC (2020), PwC and Strategy&amp; (2016), Shao et al. (2021), Shee et al. (2018), Yang et al. (2021), Zheng et al. (2021)</w:t>
            </w:r>
          </w:p>
        </w:tc>
      </w:tr>
      <w:tr w:rsidR="00C6090F" w:rsidRPr="002B79C1" w14:paraId="767A344B" w14:textId="77777777" w:rsidTr="007C57E6">
        <w:tc>
          <w:tcPr>
            <w:tcW w:w="283" w:type="dxa"/>
            <w:vMerge w:val="restart"/>
            <w:tcBorders>
              <w:top w:val="single" w:sz="4" w:space="0" w:color="auto"/>
              <w:left w:val="nil"/>
              <w:right w:val="nil"/>
            </w:tcBorders>
            <w:tcMar>
              <w:top w:w="57" w:type="dxa"/>
              <w:bottom w:w="57" w:type="dxa"/>
            </w:tcMar>
            <w:vAlign w:val="center"/>
          </w:tcPr>
          <w:p w14:paraId="4A9FABF1" w14:textId="7D4D1CAF" w:rsidR="00C6090F" w:rsidRPr="002B79C1" w:rsidRDefault="00C6090F"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6</w:t>
            </w:r>
          </w:p>
          <w:p w14:paraId="6A941EB4"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1844" w:type="dxa"/>
            <w:vMerge w:val="restart"/>
            <w:tcBorders>
              <w:top w:val="single" w:sz="4" w:space="0" w:color="auto"/>
              <w:left w:val="nil"/>
              <w:right w:val="nil"/>
            </w:tcBorders>
            <w:vAlign w:val="center"/>
          </w:tcPr>
          <w:p w14:paraId="4F6ADDA5" w14:textId="7EC86624" w:rsidR="00C6090F" w:rsidRPr="002B79C1" w:rsidRDefault="00C6090F" w:rsidP="00C6090F">
            <w:pPr>
              <w:spacing w:line="240" w:lineRule="auto"/>
              <w:rPr>
                <w:rFonts w:asciiTheme="minorHAnsi" w:hAnsiTheme="minorHAnsi" w:cstheme="minorHAnsi"/>
                <w:b/>
                <w:color w:val="000000"/>
                <w:sz w:val="18"/>
                <w:szCs w:val="18"/>
              </w:rPr>
            </w:pPr>
            <w:r w:rsidRPr="002B79C1">
              <w:rPr>
                <w:rFonts w:asciiTheme="minorHAnsi" w:hAnsiTheme="minorHAnsi" w:cstheme="minorHAnsi"/>
                <w:b/>
                <w:sz w:val="18"/>
                <w:szCs w:val="18"/>
                <w:lang w:eastAsia="de-DE"/>
              </w:rPr>
              <w:t>Trajectory Pattern</w:t>
            </w:r>
            <w:r w:rsidR="0061184E" w:rsidRPr="002B79C1">
              <w:rPr>
                <w:rFonts w:asciiTheme="minorHAnsi" w:hAnsiTheme="minorHAnsi" w:cstheme="minorHAnsi"/>
                <w:b/>
                <w:sz w:val="18"/>
                <w:szCs w:val="18"/>
                <w:lang w:eastAsia="de-DE"/>
              </w:rPr>
              <w:br/>
            </w:r>
            <w:r w:rsidRPr="002B79C1">
              <w:rPr>
                <w:rFonts w:asciiTheme="minorHAnsi" w:hAnsiTheme="minorHAnsi" w:cstheme="minorHAnsi"/>
                <w:b/>
                <w:sz w:val="18"/>
                <w:szCs w:val="18"/>
                <w:lang w:eastAsia="de-DE"/>
              </w:rPr>
              <w:t>Documentation</w:t>
            </w:r>
          </w:p>
        </w:tc>
        <w:tc>
          <w:tcPr>
            <w:tcW w:w="6944" w:type="dxa"/>
            <w:tcBorders>
              <w:left w:val="nil"/>
              <w:right w:val="nil"/>
            </w:tcBorders>
            <w:vAlign w:val="center"/>
          </w:tcPr>
          <w:p w14:paraId="2F129210" w14:textId="52556FFB" w:rsidR="00C6090F" w:rsidRPr="002B79C1" w:rsidRDefault="00C6090F" w:rsidP="00C605D4">
            <w:pPr>
              <w:spacing w:line="240" w:lineRule="auto"/>
              <w:ind w:left="284" w:hanging="284"/>
              <w:contextualSpacing/>
              <w:rPr>
                <w:rFonts w:asciiTheme="minorHAnsi" w:hAnsiTheme="minorHAnsi" w:cstheme="minorHAnsi"/>
                <w:color w:val="000000"/>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recording of trajectory patterns</w:t>
            </w:r>
            <w:r w:rsidRPr="002B79C1">
              <w:rPr>
                <w:rFonts w:asciiTheme="minorHAnsi" w:hAnsiTheme="minorHAnsi" w:cstheme="minorHAnsi"/>
                <w:sz w:val="18"/>
                <w:szCs w:val="18"/>
              </w:rPr>
              <w:t xml:space="preserve"> of goods or transport vehicles by processing and analyzing large amounts of spatial and temporal data.</w:t>
            </w:r>
          </w:p>
        </w:tc>
      </w:tr>
      <w:tr w:rsidR="00C6090F" w:rsidRPr="002B79C1" w14:paraId="632D2CA0" w14:textId="77777777" w:rsidTr="007C57E6">
        <w:tc>
          <w:tcPr>
            <w:tcW w:w="283" w:type="dxa"/>
            <w:vMerge/>
            <w:tcBorders>
              <w:left w:val="nil"/>
              <w:bottom w:val="single" w:sz="4" w:space="0" w:color="auto"/>
              <w:right w:val="nil"/>
            </w:tcBorders>
            <w:tcMar>
              <w:top w:w="57" w:type="dxa"/>
              <w:bottom w:w="57" w:type="dxa"/>
            </w:tcMar>
            <w:vAlign w:val="center"/>
          </w:tcPr>
          <w:p w14:paraId="6A650520"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40829D21"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496FDAE4" w14:textId="48F030DD" w:rsidR="00C6090F" w:rsidRPr="002B79C1" w:rsidRDefault="00C6090F"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lang w:val="de-DE"/>
              </w:rPr>
              <w:t xml:space="preserve">Chung (2021), Kembro et al. (2017), Meindl et al. </w:t>
            </w:r>
            <w:r w:rsidRPr="002B79C1">
              <w:rPr>
                <w:rFonts w:asciiTheme="minorHAnsi" w:hAnsiTheme="minorHAnsi" w:cstheme="minorHAnsi"/>
                <w:color w:val="000000"/>
                <w:sz w:val="18"/>
                <w:szCs w:val="18"/>
              </w:rPr>
              <w:t>(2021), Park et al. (2021), PwC (2020), Rejeb et al. (2021), Zhong et al. (2015)</w:t>
            </w:r>
          </w:p>
        </w:tc>
      </w:tr>
      <w:tr w:rsidR="00C6090F" w:rsidRPr="002B79C1" w14:paraId="71E5D4E6" w14:textId="77777777" w:rsidTr="007C57E6">
        <w:tc>
          <w:tcPr>
            <w:tcW w:w="283" w:type="dxa"/>
            <w:vMerge w:val="restart"/>
            <w:tcBorders>
              <w:top w:val="single" w:sz="4" w:space="0" w:color="auto"/>
              <w:left w:val="nil"/>
              <w:right w:val="nil"/>
            </w:tcBorders>
            <w:tcMar>
              <w:top w:w="57" w:type="dxa"/>
              <w:bottom w:w="57" w:type="dxa"/>
            </w:tcMar>
            <w:vAlign w:val="center"/>
          </w:tcPr>
          <w:p w14:paraId="166DC93C" w14:textId="28D4A857" w:rsidR="00C6090F" w:rsidRPr="002B79C1" w:rsidRDefault="00B41149" w:rsidP="00C6090F">
            <w:pPr>
              <w:spacing w:line="240" w:lineRule="auto"/>
              <w:rPr>
                <w:rFonts w:asciiTheme="minorHAnsi" w:hAnsiTheme="minorHAnsi" w:cstheme="minorHAnsi"/>
                <w:b/>
                <w:sz w:val="18"/>
                <w:szCs w:val="18"/>
              </w:rPr>
            </w:pPr>
            <w:r>
              <w:br w:type="page"/>
            </w:r>
            <w:r w:rsidR="00C6090F" w:rsidRPr="002B79C1">
              <w:rPr>
                <w:rFonts w:asciiTheme="minorHAnsi" w:hAnsiTheme="minorHAnsi" w:cstheme="minorHAnsi"/>
                <w:b/>
                <w:sz w:val="18"/>
                <w:szCs w:val="18"/>
              </w:rPr>
              <w:t>7</w:t>
            </w:r>
          </w:p>
        </w:tc>
        <w:tc>
          <w:tcPr>
            <w:tcW w:w="1844" w:type="dxa"/>
            <w:vMerge w:val="restart"/>
            <w:tcBorders>
              <w:top w:val="single" w:sz="4" w:space="0" w:color="auto"/>
              <w:left w:val="nil"/>
              <w:right w:val="nil"/>
            </w:tcBorders>
            <w:vAlign w:val="center"/>
          </w:tcPr>
          <w:p w14:paraId="0CCDB9F3" w14:textId="77777777" w:rsidR="00C6090F" w:rsidRPr="002B79C1" w:rsidRDefault="00C6090F"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 xml:space="preserve">Vertical Integration </w:t>
            </w:r>
          </w:p>
        </w:tc>
        <w:tc>
          <w:tcPr>
            <w:tcW w:w="6944" w:type="dxa"/>
            <w:tcBorders>
              <w:left w:val="nil"/>
              <w:right w:val="nil"/>
            </w:tcBorders>
            <w:vAlign w:val="center"/>
          </w:tcPr>
          <w:p w14:paraId="3A9E9C7A" w14:textId="3E7916B8" w:rsidR="00C6090F" w:rsidRPr="002B79C1" w:rsidRDefault="00C6090F" w:rsidP="00C605D4">
            <w:pPr>
              <w:spacing w:line="240" w:lineRule="auto"/>
              <w:ind w:left="284" w:hanging="284"/>
              <w:contextualSpacing/>
              <w:rPr>
                <w:rFonts w:asciiTheme="minorHAnsi" w:hAnsiTheme="minorHAnsi" w:cstheme="minorHAnsi"/>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vertical integration</w:t>
            </w:r>
            <w:r w:rsidRPr="002B79C1">
              <w:rPr>
                <w:rFonts w:asciiTheme="minorHAnsi" w:hAnsiTheme="minorHAnsi" w:cstheme="minorHAnsi"/>
                <w:sz w:val="18"/>
                <w:szCs w:val="18"/>
              </w:rPr>
              <w:t xml:space="preserve"> of all hierarchical levels from production to management within a company by merging multiple assets, consolidating data across different applications, modes, and actors, and by combining existing hardware and software solutions for end-to-end integrity control.</w:t>
            </w:r>
          </w:p>
        </w:tc>
      </w:tr>
      <w:tr w:rsidR="00C6090F" w:rsidRPr="002B79C1" w14:paraId="5CA8A202" w14:textId="77777777" w:rsidTr="007C57E6">
        <w:tc>
          <w:tcPr>
            <w:tcW w:w="283" w:type="dxa"/>
            <w:vMerge/>
            <w:tcBorders>
              <w:left w:val="nil"/>
              <w:bottom w:val="single" w:sz="4" w:space="0" w:color="auto"/>
              <w:right w:val="nil"/>
            </w:tcBorders>
            <w:tcMar>
              <w:top w:w="57" w:type="dxa"/>
              <w:bottom w:w="57" w:type="dxa"/>
            </w:tcMar>
            <w:vAlign w:val="center"/>
          </w:tcPr>
          <w:p w14:paraId="3B315107"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6DFE5B52" w14:textId="77777777" w:rsidR="00C6090F" w:rsidRPr="002B79C1" w:rsidRDefault="00C6090F" w:rsidP="00C6090F">
            <w:pPr>
              <w:spacing w:line="240" w:lineRule="auto"/>
              <w:rPr>
                <w:rFonts w:asciiTheme="minorHAnsi" w:hAnsiTheme="minorHAnsi" w:cstheme="minorHAnsi"/>
                <w:b/>
                <w:sz w:val="18"/>
                <w:szCs w:val="18"/>
              </w:rPr>
            </w:pPr>
          </w:p>
        </w:tc>
        <w:tc>
          <w:tcPr>
            <w:tcW w:w="6944" w:type="dxa"/>
            <w:tcBorders>
              <w:left w:val="nil"/>
              <w:right w:val="nil"/>
            </w:tcBorders>
            <w:vAlign w:val="center"/>
          </w:tcPr>
          <w:p w14:paraId="3F59373B" w14:textId="46948A3F" w:rsidR="00C6090F" w:rsidRPr="002B79C1" w:rsidRDefault="00C6090F"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DHL and Cisco (2015), DHL and Detecon (2016), Dolgui and Ivanov (2022), Frank et al. (2019), Han et al. (2017), Nayernia et al. (2021), Shee et al. (2018)</w:t>
            </w:r>
          </w:p>
        </w:tc>
      </w:tr>
      <w:tr w:rsidR="00C6090F" w:rsidRPr="002B79C1" w14:paraId="0F5E0827" w14:textId="77777777" w:rsidTr="007C57E6">
        <w:tc>
          <w:tcPr>
            <w:tcW w:w="283" w:type="dxa"/>
            <w:vMerge w:val="restart"/>
            <w:tcBorders>
              <w:top w:val="single" w:sz="4" w:space="0" w:color="auto"/>
              <w:left w:val="nil"/>
              <w:right w:val="nil"/>
            </w:tcBorders>
            <w:tcMar>
              <w:top w:w="57" w:type="dxa"/>
              <w:bottom w:w="57" w:type="dxa"/>
            </w:tcMar>
            <w:vAlign w:val="center"/>
          </w:tcPr>
          <w:p w14:paraId="192580EE" w14:textId="77777777" w:rsidR="00C6090F" w:rsidRPr="002B79C1" w:rsidRDefault="00C6090F"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8</w:t>
            </w:r>
          </w:p>
          <w:p w14:paraId="4ECFEA39"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1844" w:type="dxa"/>
            <w:vMerge w:val="restart"/>
            <w:tcBorders>
              <w:top w:val="single" w:sz="4" w:space="0" w:color="auto"/>
              <w:left w:val="nil"/>
              <w:right w:val="nil"/>
            </w:tcBorders>
            <w:vAlign w:val="center"/>
          </w:tcPr>
          <w:p w14:paraId="19597CA7" w14:textId="41680590" w:rsidR="00C6090F" w:rsidRPr="002B79C1" w:rsidRDefault="00C6090F"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lang w:eastAsia="de-DE"/>
              </w:rPr>
              <w:t>Enhancement of</w:t>
            </w:r>
            <w:r w:rsidR="0061184E" w:rsidRPr="002B79C1">
              <w:rPr>
                <w:rFonts w:asciiTheme="minorHAnsi" w:hAnsiTheme="minorHAnsi" w:cstheme="minorHAnsi"/>
                <w:b/>
                <w:sz w:val="18"/>
                <w:szCs w:val="18"/>
                <w:lang w:eastAsia="de-DE"/>
              </w:rPr>
              <w:br/>
            </w:r>
            <w:r w:rsidRPr="002B79C1">
              <w:rPr>
                <w:rFonts w:asciiTheme="minorHAnsi" w:hAnsiTheme="minorHAnsi" w:cstheme="minorHAnsi"/>
                <w:b/>
                <w:sz w:val="18"/>
                <w:szCs w:val="18"/>
                <w:lang w:eastAsia="de-DE"/>
              </w:rPr>
              <w:t>Physical Strength</w:t>
            </w:r>
          </w:p>
        </w:tc>
        <w:tc>
          <w:tcPr>
            <w:tcW w:w="6944" w:type="dxa"/>
            <w:tcBorders>
              <w:left w:val="nil"/>
              <w:right w:val="nil"/>
            </w:tcBorders>
            <w:vAlign w:val="center"/>
          </w:tcPr>
          <w:p w14:paraId="0F53728B" w14:textId="7B93060E" w:rsidR="00C6090F" w:rsidRPr="002B79C1" w:rsidRDefault="00C6090F" w:rsidP="00C605D4">
            <w:pPr>
              <w:spacing w:line="240" w:lineRule="auto"/>
              <w:ind w:left="284" w:hanging="284"/>
              <w:contextualSpacing/>
              <w:rPr>
                <w:rFonts w:asciiTheme="minorHAnsi" w:hAnsiTheme="minorHAnsi" w:cstheme="minorHAnsi"/>
                <w:color w:val="000000"/>
                <w:sz w:val="18"/>
                <w:szCs w:val="18"/>
              </w:rPr>
            </w:pPr>
            <w:r w:rsidRPr="002B79C1">
              <w:rPr>
                <w:rFonts w:asciiTheme="minorHAnsi" w:hAnsiTheme="minorHAnsi" w:cstheme="minorHAnsi"/>
                <w:sz w:val="18"/>
                <w:szCs w:val="18"/>
              </w:rPr>
              <w:t xml:space="preserve">[...] enables </w:t>
            </w:r>
            <w:r w:rsidRPr="002B79C1">
              <w:rPr>
                <w:rFonts w:asciiTheme="minorHAnsi" w:hAnsiTheme="minorHAnsi" w:cstheme="minorHAnsi"/>
                <w:b/>
                <w:sz w:val="18"/>
                <w:szCs w:val="18"/>
              </w:rPr>
              <w:t>the increase of physical abilities of human workers</w:t>
            </w:r>
            <w:r w:rsidRPr="002B79C1">
              <w:rPr>
                <w:rFonts w:asciiTheme="minorHAnsi" w:hAnsiTheme="minorHAnsi" w:cstheme="minorHAnsi"/>
                <w:sz w:val="18"/>
                <w:szCs w:val="18"/>
              </w:rPr>
              <w:t xml:space="preserve"> by enhancing the strength and endurance of employees, thereby reducing physical stress and strain.</w:t>
            </w:r>
          </w:p>
        </w:tc>
      </w:tr>
      <w:tr w:rsidR="00C6090F" w:rsidRPr="002B79C1" w14:paraId="5BFCC54F" w14:textId="77777777" w:rsidTr="007C57E6">
        <w:tc>
          <w:tcPr>
            <w:tcW w:w="283" w:type="dxa"/>
            <w:vMerge/>
            <w:tcBorders>
              <w:left w:val="nil"/>
              <w:bottom w:val="single" w:sz="4" w:space="0" w:color="auto"/>
              <w:right w:val="nil"/>
            </w:tcBorders>
            <w:tcMar>
              <w:top w:w="57" w:type="dxa"/>
              <w:bottom w:w="57" w:type="dxa"/>
            </w:tcMar>
            <w:vAlign w:val="center"/>
          </w:tcPr>
          <w:p w14:paraId="7708C38E"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2643248F"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0426B50F" w14:textId="1DC8F791" w:rsidR="00C6090F" w:rsidRPr="002B79C1" w:rsidRDefault="00C6090F"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DHL and Detecon (2016), Dolgui and Ivanov (2022), Meindl et al. (2021), Rejeb et al. (2021), Zheng et al. (2021)</w:t>
            </w:r>
          </w:p>
        </w:tc>
      </w:tr>
      <w:tr w:rsidR="00C6090F" w:rsidRPr="002B79C1" w14:paraId="72F80726" w14:textId="77777777" w:rsidTr="007C57E6">
        <w:tc>
          <w:tcPr>
            <w:tcW w:w="283" w:type="dxa"/>
            <w:vMerge w:val="restart"/>
            <w:tcBorders>
              <w:top w:val="single" w:sz="4" w:space="0" w:color="auto"/>
              <w:left w:val="nil"/>
              <w:right w:val="nil"/>
            </w:tcBorders>
            <w:tcMar>
              <w:top w:w="57" w:type="dxa"/>
              <w:bottom w:w="57" w:type="dxa"/>
            </w:tcMar>
            <w:vAlign w:val="center"/>
          </w:tcPr>
          <w:p w14:paraId="296DCE04" w14:textId="79DC7237" w:rsidR="00C6090F" w:rsidRPr="002B79C1" w:rsidRDefault="00C6090F"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9</w:t>
            </w:r>
          </w:p>
        </w:tc>
        <w:tc>
          <w:tcPr>
            <w:tcW w:w="1844" w:type="dxa"/>
            <w:vMerge w:val="restart"/>
            <w:tcBorders>
              <w:top w:val="single" w:sz="4" w:space="0" w:color="auto"/>
              <w:left w:val="nil"/>
              <w:right w:val="nil"/>
            </w:tcBorders>
            <w:vAlign w:val="center"/>
          </w:tcPr>
          <w:p w14:paraId="7485397B" w14:textId="77777777" w:rsidR="00C6090F" w:rsidRPr="002B79C1" w:rsidRDefault="00C6090F"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lang w:eastAsia="de-DE"/>
              </w:rPr>
              <w:t>Job Instructions</w:t>
            </w:r>
          </w:p>
        </w:tc>
        <w:tc>
          <w:tcPr>
            <w:tcW w:w="6944" w:type="dxa"/>
            <w:tcBorders>
              <w:left w:val="nil"/>
              <w:right w:val="nil"/>
            </w:tcBorders>
            <w:vAlign w:val="center"/>
          </w:tcPr>
          <w:p w14:paraId="7B8330E7" w14:textId="067A037A" w:rsidR="00C6090F" w:rsidRPr="002B79C1" w:rsidRDefault="00C6090F" w:rsidP="00C605D4">
            <w:pPr>
              <w:spacing w:line="240" w:lineRule="auto"/>
              <w:ind w:left="284" w:hanging="284"/>
              <w:contextualSpacing/>
              <w:rPr>
                <w:rFonts w:asciiTheme="minorHAnsi" w:hAnsiTheme="minorHAnsi" w:cstheme="minorHAnsi"/>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guidance of manual tasks</w:t>
            </w:r>
            <w:r w:rsidRPr="002B79C1">
              <w:rPr>
                <w:rFonts w:asciiTheme="minorHAnsi" w:hAnsiTheme="minorHAnsi" w:cstheme="minorHAnsi"/>
                <w:sz w:val="18"/>
                <w:szCs w:val="18"/>
              </w:rPr>
              <w:t xml:space="preserve"> by providing hands-free, interactive, and real-time instructions and support for the necessary steps of the tasks to be performed and by providing relevant information upon request.</w:t>
            </w:r>
          </w:p>
        </w:tc>
      </w:tr>
      <w:tr w:rsidR="00C6090F" w:rsidRPr="002B79C1" w14:paraId="58D2C507" w14:textId="77777777" w:rsidTr="007C57E6">
        <w:tc>
          <w:tcPr>
            <w:tcW w:w="283" w:type="dxa"/>
            <w:vMerge/>
            <w:tcBorders>
              <w:left w:val="nil"/>
              <w:bottom w:val="single" w:sz="4" w:space="0" w:color="auto"/>
              <w:right w:val="nil"/>
            </w:tcBorders>
            <w:tcMar>
              <w:top w:w="57" w:type="dxa"/>
              <w:bottom w:w="57" w:type="dxa"/>
            </w:tcMar>
            <w:vAlign w:val="center"/>
          </w:tcPr>
          <w:p w14:paraId="488EFE5E"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30C1431A"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5D491C62" w14:textId="246FA2E5" w:rsidR="00C6090F" w:rsidRPr="002B79C1" w:rsidRDefault="00C6090F"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Berkemeier et al. (2019), Coronado Mondragon et al. (2017), DHL and Detecon (2016), Frank et al. (2019), Gartner (2022), Meindl et al. (2021), Onal et al. (2017), PwC and Strategy&amp; (2016), Rejeb et al. (2021), Zheng et al. (2021)</w:t>
            </w:r>
          </w:p>
        </w:tc>
      </w:tr>
      <w:tr w:rsidR="00C6090F" w:rsidRPr="002B79C1" w14:paraId="5C842817" w14:textId="77777777" w:rsidTr="007C57E6">
        <w:tc>
          <w:tcPr>
            <w:tcW w:w="283" w:type="dxa"/>
            <w:vMerge w:val="restart"/>
            <w:tcBorders>
              <w:top w:val="single" w:sz="4" w:space="0" w:color="auto"/>
              <w:left w:val="nil"/>
              <w:right w:val="nil"/>
            </w:tcBorders>
            <w:tcMar>
              <w:top w:w="57" w:type="dxa"/>
              <w:bottom w:w="57" w:type="dxa"/>
            </w:tcMar>
            <w:vAlign w:val="center"/>
          </w:tcPr>
          <w:p w14:paraId="5196CE33" w14:textId="216CB89E" w:rsidR="00C6090F" w:rsidRPr="002B79C1" w:rsidRDefault="00C6090F"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10</w:t>
            </w:r>
          </w:p>
        </w:tc>
        <w:tc>
          <w:tcPr>
            <w:tcW w:w="1844" w:type="dxa"/>
            <w:vMerge w:val="restart"/>
            <w:tcBorders>
              <w:top w:val="single" w:sz="4" w:space="0" w:color="auto"/>
              <w:left w:val="nil"/>
              <w:right w:val="nil"/>
            </w:tcBorders>
            <w:vAlign w:val="center"/>
          </w:tcPr>
          <w:p w14:paraId="21714B01" w14:textId="77777777" w:rsidR="00C6090F" w:rsidRPr="002B79C1" w:rsidRDefault="00C6090F"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lang w:eastAsia="de-DE"/>
              </w:rPr>
              <w:t>Loading Guidance</w:t>
            </w:r>
          </w:p>
        </w:tc>
        <w:tc>
          <w:tcPr>
            <w:tcW w:w="6944" w:type="dxa"/>
            <w:tcBorders>
              <w:left w:val="nil"/>
              <w:right w:val="nil"/>
            </w:tcBorders>
            <w:vAlign w:val="center"/>
          </w:tcPr>
          <w:p w14:paraId="32D97C59" w14:textId="4F88B76F" w:rsidR="00C6090F" w:rsidRPr="002B79C1" w:rsidRDefault="00C6090F" w:rsidP="00C605D4">
            <w:pPr>
              <w:spacing w:line="240" w:lineRule="auto"/>
              <w:ind w:left="284" w:hanging="284"/>
              <w:contextualSpacing/>
              <w:rPr>
                <w:rFonts w:asciiTheme="minorHAnsi" w:hAnsiTheme="minorHAnsi" w:cstheme="minorHAnsi"/>
                <w:color w:val="000000"/>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efficient loading of goods</w:t>
            </w:r>
            <w:r w:rsidRPr="002B79C1">
              <w:rPr>
                <w:rFonts w:asciiTheme="minorHAnsi" w:hAnsiTheme="minorHAnsi" w:cstheme="minorHAnsi"/>
                <w:sz w:val="18"/>
                <w:szCs w:val="18"/>
              </w:rPr>
              <w:t xml:space="preserve"> by providing loading instructions that ensure an optimal loading sequence and volume (i.e., optimized capacity utilization) and that assure compliance with import and export regulations (in the case of outgoing goods).</w:t>
            </w:r>
          </w:p>
        </w:tc>
      </w:tr>
      <w:tr w:rsidR="00C6090F" w:rsidRPr="002B79C1" w14:paraId="046885F5" w14:textId="77777777" w:rsidTr="007C57E6">
        <w:tc>
          <w:tcPr>
            <w:tcW w:w="283" w:type="dxa"/>
            <w:vMerge/>
            <w:tcBorders>
              <w:left w:val="nil"/>
              <w:bottom w:val="single" w:sz="4" w:space="0" w:color="auto"/>
              <w:right w:val="nil"/>
            </w:tcBorders>
            <w:tcMar>
              <w:top w:w="57" w:type="dxa"/>
              <w:bottom w:w="57" w:type="dxa"/>
            </w:tcMar>
            <w:vAlign w:val="center"/>
          </w:tcPr>
          <w:p w14:paraId="4B4CC059"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5A7BE7DA"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1DC0B18F" w14:textId="75F92381" w:rsidR="00C6090F" w:rsidRPr="002B79C1" w:rsidRDefault="00C6090F"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lang w:val="de-DE"/>
              </w:rPr>
              <w:t xml:space="preserve">DHL and Z_punkt (2014), Oliveira-Dias et al. </w:t>
            </w:r>
            <w:r w:rsidRPr="002B79C1">
              <w:rPr>
                <w:rFonts w:asciiTheme="minorHAnsi" w:hAnsiTheme="minorHAnsi" w:cstheme="minorHAnsi"/>
                <w:color w:val="000000"/>
                <w:sz w:val="18"/>
                <w:szCs w:val="18"/>
              </w:rPr>
              <w:t>(2022), PwC (2020), Rejeb et al. (2021), World Economic Forum and Accenture (2016)</w:t>
            </w:r>
          </w:p>
        </w:tc>
      </w:tr>
      <w:tr w:rsidR="00C6090F" w:rsidRPr="002B79C1" w14:paraId="1EC37F26" w14:textId="77777777" w:rsidTr="007C57E6">
        <w:tc>
          <w:tcPr>
            <w:tcW w:w="283" w:type="dxa"/>
            <w:vMerge w:val="restart"/>
            <w:tcBorders>
              <w:top w:val="single" w:sz="4" w:space="0" w:color="auto"/>
              <w:left w:val="nil"/>
              <w:right w:val="nil"/>
            </w:tcBorders>
            <w:tcMar>
              <w:top w:w="57" w:type="dxa"/>
              <w:bottom w:w="57" w:type="dxa"/>
            </w:tcMar>
            <w:vAlign w:val="center"/>
          </w:tcPr>
          <w:p w14:paraId="69316CB9" w14:textId="05BCB938" w:rsidR="00C6090F" w:rsidRPr="002B79C1" w:rsidRDefault="00C6090F" w:rsidP="00C6090F">
            <w:pPr>
              <w:spacing w:line="240" w:lineRule="auto"/>
              <w:rPr>
                <w:rFonts w:asciiTheme="minorHAnsi" w:hAnsiTheme="minorHAnsi" w:cstheme="minorHAnsi"/>
                <w:b/>
                <w:sz w:val="18"/>
                <w:szCs w:val="18"/>
                <w:lang w:eastAsia="de-DE"/>
              </w:rPr>
            </w:pPr>
            <w:r w:rsidRPr="002B79C1">
              <w:rPr>
                <w:rFonts w:asciiTheme="minorHAnsi" w:hAnsiTheme="minorHAnsi" w:cstheme="minorHAnsi"/>
                <w:b/>
                <w:sz w:val="18"/>
                <w:szCs w:val="18"/>
              </w:rPr>
              <w:t>11</w:t>
            </w:r>
          </w:p>
        </w:tc>
        <w:tc>
          <w:tcPr>
            <w:tcW w:w="1844" w:type="dxa"/>
            <w:vMerge w:val="restart"/>
            <w:tcBorders>
              <w:top w:val="single" w:sz="4" w:space="0" w:color="auto"/>
              <w:left w:val="nil"/>
              <w:right w:val="nil"/>
            </w:tcBorders>
            <w:vAlign w:val="center"/>
          </w:tcPr>
          <w:p w14:paraId="2824D21F" w14:textId="77777777" w:rsidR="00C6090F" w:rsidRPr="002B79C1" w:rsidRDefault="00C6090F" w:rsidP="00C6090F">
            <w:pPr>
              <w:spacing w:line="240" w:lineRule="auto"/>
              <w:rPr>
                <w:rFonts w:asciiTheme="minorHAnsi" w:hAnsiTheme="minorHAnsi" w:cstheme="minorHAnsi"/>
                <w:b/>
                <w:color w:val="000000"/>
                <w:sz w:val="18"/>
                <w:szCs w:val="18"/>
              </w:rPr>
            </w:pPr>
            <w:r w:rsidRPr="002B79C1">
              <w:rPr>
                <w:rFonts w:asciiTheme="minorHAnsi" w:hAnsiTheme="minorHAnsi" w:cstheme="minorHAnsi"/>
                <w:b/>
                <w:sz w:val="18"/>
                <w:szCs w:val="18"/>
                <w:lang w:eastAsia="de-DE"/>
              </w:rPr>
              <w:t>Navigation Support</w:t>
            </w:r>
          </w:p>
        </w:tc>
        <w:tc>
          <w:tcPr>
            <w:tcW w:w="6944" w:type="dxa"/>
            <w:tcBorders>
              <w:left w:val="nil"/>
              <w:right w:val="nil"/>
            </w:tcBorders>
            <w:vAlign w:val="center"/>
          </w:tcPr>
          <w:p w14:paraId="66D1EED0" w14:textId="1E967470" w:rsidR="00C6090F" w:rsidRPr="002B79C1" w:rsidRDefault="00C6090F" w:rsidP="00C605D4">
            <w:pPr>
              <w:spacing w:line="240" w:lineRule="auto"/>
              <w:ind w:left="284" w:hanging="284"/>
              <w:contextualSpacing/>
              <w:rPr>
                <w:rFonts w:asciiTheme="minorHAnsi" w:hAnsiTheme="minorHAnsi" w:cstheme="minorHAnsi"/>
                <w:color w:val="000000"/>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safe and efficient transportation of goods</w:t>
            </w:r>
            <w:r w:rsidRPr="002B79C1">
              <w:rPr>
                <w:rFonts w:asciiTheme="minorHAnsi" w:hAnsiTheme="minorHAnsi" w:cstheme="minorHAnsi"/>
                <w:sz w:val="18"/>
                <w:szCs w:val="18"/>
              </w:rPr>
              <w:t xml:space="preserve"> by providing navigation information from real-time traffic data and highlighting traffic hazards.</w:t>
            </w:r>
          </w:p>
        </w:tc>
      </w:tr>
      <w:tr w:rsidR="00C6090F" w:rsidRPr="002B79C1" w14:paraId="2C893114" w14:textId="77777777" w:rsidTr="007C57E6">
        <w:tc>
          <w:tcPr>
            <w:tcW w:w="283" w:type="dxa"/>
            <w:vMerge/>
            <w:tcBorders>
              <w:left w:val="nil"/>
              <w:bottom w:val="single" w:sz="4" w:space="0" w:color="auto"/>
              <w:right w:val="nil"/>
            </w:tcBorders>
            <w:tcMar>
              <w:top w:w="57" w:type="dxa"/>
              <w:bottom w:w="57" w:type="dxa"/>
            </w:tcMar>
            <w:vAlign w:val="center"/>
          </w:tcPr>
          <w:p w14:paraId="19A1D4AD"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7068BED8"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0F9A4657" w14:textId="7745590D" w:rsidR="00C6090F" w:rsidRPr="002B79C1" w:rsidRDefault="00C6090F"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DHL and Detecon (2016), DHL and Z_punkt (2014), Leofante et al. (2019), Morenza-Cinos et al. (2019), Rejeb et al. (2021)</w:t>
            </w:r>
          </w:p>
        </w:tc>
      </w:tr>
      <w:tr w:rsidR="00C6090F" w:rsidRPr="002B79C1" w14:paraId="184B20F6" w14:textId="77777777" w:rsidTr="007C57E6">
        <w:tc>
          <w:tcPr>
            <w:tcW w:w="283" w:type="dxa"/>
            <w:vMerge w:val="restart"/>
            <w:tcBorders>
              <w:top w:val="single" w:sz="4" w:space="0" w:color="auto"/>
              <w:left w:val="nil"/>
              <w:right w:val="nil"/>
            </w:tcBorders>
            <w:tcMar>
              <w:top w:w="57" w:type="dxa"/>
              <w:bottom w:w="57" w:type="dxa"/>
            </w:tcMar>
            <w:vAlign w:val="center"/>
          </w:tcPr>
          <w:p w14:paraId="6E052A47" w14:textId="3678E76D" w:rsidR="00C6090F" w:rsidRPr="002B79C1" w:rsidRDefault="00C6090F" w:rsidP="00C6090F">
            <w:pPr>
              <w:spacing w:line="240" w:lineRule="auto"/>
              <w:rPr>
                <w:rFonts w:asciiTheme="minorHAnsi" w:hAnsiTheme="minorHAnsi" w:cstheme="minorHAnsi"/>
                <w:b/>
                <w:sz w:val="18"/>
                <w:szCs w:val="18"/>
                <w:lang w:eastAsia="de-DE"/>
              </w:rPr>
            </w:pPr>
            <w:r w:rsidRPr="002B79C1">
              <w:rPr>
                <w:rFonts w:asciiTheme="minorHAnsi" w:hAnsiTheme="minorHAnsi" w:cstheme="minorHAnsi"/>
                <w:b/>
                <w:sz w:val="18"/>
                <w:szCs w:val="18"/>
              </w:rPr>
              <w:t>12</w:t>
            </w:r>
          </w:p>
        </w:tc>
        <w:tc>
          <w:tcPr>
            <w:tcW w:w="1844" w:type="dxa"/>
            <w:vMerge w:val="restart"/>
            <w:tcBorders>
              <w:top w:val="single" w:sz="4" w:space="0" w:color="auto"/>
              <w:left w:val="nil"/>
              <w:right w:val="nil"/>
            </w:tcBorders>
            <w:vAlign w:val="center"/>
          </w:tcPr>
          <w:p w14:paraId="5733C6C0" w14:textId="77777777" w:rsidR="00C6090F" w:rsidRPr="002B79C1" w:rsidRDefault="00C6090F"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lang w:eastAsia="de-DE"/>
              </w:rPr>
              <w:t>Storage Guidance</w:t>
            </w:r>
          </w:p>
        </w:tc>
        <w:tc>
          <w:tcPr>
            <w:tcW w:w="6944" w:type="dxa"/>
            <w:tcBorders>
              <w:left w:val="nil"/>
              <w:right w:val="nil"/>
            </w:tcBorders>
            <w:vAlign w:val="center"/>
          </w:tcPr>
          <w:p w14:paraId="11F5A86D" w14:textId="2BA48BB9" w:rsidR="00C6090F" w:rsidRPr="002B79C1" w:rsidRDefault="00C6090F" w:rsidP="00C605D4">
            <w:pPr>
              <w:spacing w:line="240" w:lineRule="auto"/>
              <w:ind w:left="284" w:hanging="284"/>
              <w:contextualSpacing/>
              <w:rPr>
                <w:rFonts w:asciiTheme="minorHAnsi" w:hAnsiTheme="minorHAnsi" w:cstheme="minorHAnsi"/>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effective use of storage space</w:t>
            </w:r>
            <w:r w:rsidRPr="002B79C1">
              <w:rPr>
                <w:rFonts w:asciiTheme="minorHAnsi" w:hAnsiTheme="minorHAnsi" w:cstheme="minorHAnsi"/>
                <w:sz w:val="18"/>
                <w:szCs w:val="18"/>
              </w:rPr>
              <w:t xml:space="preserve"> by identifying and assigning optimal storage zones and locations for incoming goods while considering required storage conditions for individual goods.</w:t>
            </w:r>
          </w:p>
        </w:tc>
      </w:tr>
      <w:tr w:rsidR="00C6090F" w:rsidRPr="002B79C1" w14:paraId="4DABDD17" w14:textId="77777777" w:rsidTr="007C57E6">
        <w:tc>
          <w:tcPr>
            <w:tcW w:w="283" w:type="dxa"/>
            <w:vMerge/>
            <w:tcBorders>
              <w:left w:val="nil"/>
              <w:bottom w:val="single" w:sz="4" w:space="0" w:color="auto"/>
              <w:right w:val="nil"/>
            </w:tcBorders>
            <w:tcMar>
              <w:top w:w="57" w:type="dxa"/>
              <w:bottom w:w="57" w:type="dxa"/>
            </w:tcMar>
            <w:vAlign w:val="center"/>
          </w:tcPr>
          <w:p w14:paraId="70C716F4"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20C893CA"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5E14591F" w14:textId="1345B86E" w:rsidR="00C6090F" w:rsidRPr="002B79C1" w:rsidRDefault="00C6090F"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Chung (2021), Coelho et al. (2021), DHL and IBM (2018), Fosso Wamba and Chatfield (2011), Kache and Seuring (2017), Kembro et al. (2017), Onal et al. (2017), PwC (2019), Tran-Dang et al. (2017), Yang et al. (2021), Zheng et al. (2021)</w:t>
            </w:r>
          </w:p>
        </w:tc>
      </w:tr>
      <w:tr w:rsidR="00C6090F" w:rsidRPr="002B79C1" w14:paraId="3FD8A4AA" w14:textId="77777777" w:rsidTr="007C57E6">
        <w:tc>
          <w:tcPr>
            <w:tcW w:w="283" w:type="dxa"/>
            <w:vMerge w:val="restart"/>
            <w:tcBorders>
              <w:top w:val="single" w:sz="4" w:space="0" w:color="auto"/>
              <w:left w:val="nil"/>
              <w:right w:val="nil"/>
            </w:tcBorders>
            <w:tcMar>
              <w:top w:w="57" w:type="dxa"/>
              <w:bottom w:w="57" w:type="dxa"/>
            </w:tcMar>
            <w:vAlign w:val="center"/>
          </w:tcPr>
          <w:p w14:paraId="42DCAC9D" w14:textId="6DE8E3C9" w:rsidR="00C6090F" w:rsidRPr="002B79C1" w:rsidRDefault="00C6090F"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13</w:t>
            </w:r>
          </w:p>
          <w:p w14:paraId="26D6D3F6"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1844" w:type="dxa"/>
            <w:vMerge w:val="restart"/>
            <w:tcBorders>
              <w:top w:val="single" w:sz="4" w:space="0" w:color="auto"/>
              <w:left w:val="nil"/>
              <w:right w:val="nil"/>
            </w:tcBorders>
            <w:vAlign w:val="center"/>
          </w:tcPr>
          <w:p w14:paraId="1A8E3E70" w14:textId="74092F8E" w:rsidR="00C6090F" w:rsidRPr="002B79C1" w:rsidRDefault="00C6090F"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lang w:eastAsia="de-DE"/>
              </w:rPr>
              <w:t>Transportation</w:t>
            </w:r>
            <w:r w:rsidR="0061184E" w:rsidRPr="002B79C1">
              <w:rPr>
                <w:rFonts w:asciiTheme="minorHAnsi" w:hAnsiTheme="minorHAnsi" w:cstheme="minorHAnsi"/>
                <w:b/>
                <w:sz w:val="18"/>
                <w:szCs w:val="18"/>
                <w:lang w:eastAsia="de-DE"/>
              </w:rPr>
              <w:br/>
            </w:r>
            <w:r w:rsidRPr="002B79C1">
              <w:rPr>
                <w:rFonts w:asciiTheme="minorHAnsi" w:hAnsiTheme="minorHAnsi" w:cstheme="minorHAnsi"/>
                <w:b/>
                <w:sz w:val="18"/>
                <w:szCs w:val="18"/>
                <w:lang w:eastAsia="de-DE"/>
              </w:rPr>
              <w:t>Assistance</w:t>
            </w:r>
          </w:p>
        </w:tc>
        <w:tc>
          <w:tcPr>
            <w:tcW w:w="6944" w:type="dxa"/>
            <w:tcBorders>
              <w:left w:val="nil"/>
              <w:right w:val="nil"/>
            </w:tcBorders>
            <w:vAlign w:val="center"/>
          </w:tcPr>
          <w:p w14:paraId="791543D8" w14:textId="0E28B955" w:rsidR="00C6090F" w:rsidRPr="002B79C1" w:rsidRDefault="00C6090F" w:rsidP="00C605D4">
            <w:pPr>
              <w:spacing w:line="240" w:lineRule="auto"/>
              <w:ind w:left="284" w:hanging="284"/>
              <w:contextualSpacing/>
              <w:rPr>
                <w:rFonts w:asciiTheme="minorHAnsi" w:hAnsiTheme="minorHAnsi" w:cstheme="minorHAnsi"/>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facilitation of manual transportation tasks</w:t>
            </w:r>
            <w:r w:rsidRPr="002B79C1">
              <w:rPr>
                <w:rFonts w:asciiTheme="minorHAnsi" w:hAnsiTheme="minorHAnsi" w:cstheme="minorHAnsi"/>
                <w:sz w:val="18"/>
                <w:szCs w:val="18"/>
              </w:rPr>
              <w:t xml:space="preserve"> by taking over or supporting the transport of heavy goods and reducing the susceptibility to fatigue.</w:t>
            </w:r>
          </w:p>
        </w:tc>
      </w:tr>
      <w:tr w:rsidR="00C6090F" w:rsidRPr="002B79C1" w14:paraId="1FCED8D2" w14:textId="77777777" w:rsidTr="007C57E6">
        <w:tc>
          <w:tcPr>
            <w:tcW w:w="283" w:type="dxa"/>
            <w:vMerge/>
            <w:tcBorders>
              <w:left w:val="nil"/>
              <w:bottom w:val="single" w:sz="4" w:space="0" w:color="auto"/>
              <w:right w:val="nil"/>
            </w:tcBorders>
            <w:tcMar>
              <w:top w:w="57" w:type="dxa"/>
              <w:bottom w:w="57" w:type="dxa"/>
            </w:tcMar>
            <w:vAlign w:val="center"/>
          </w:tcPr>
          <w:p w14:paraId="6560C783"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4CD2E8D2"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2E236B0F" w14:textId="0A1FC5DB" w:rsidR="00C6090F" w:rsidRPr="002B79C1" w:rsidRDefault="00C6090F"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Frank et al. (2019), DHL and Cisco (2015), DHL and Detecon (2016), Meindl et al. (2021), Zheng et al. (2021)</w:t>
            </w:r>
          </w:p>
        </w:tc>
      </w:tr>
      <w:tr w:rsidR="00C6090F" w:rsidRPr="002B79C1" w14:paraId="5126C363" w14:textId="77777777" w:rsidTr="007C57E6">
        <w:tc>
          <w:tcPr>
            <w:tcW w:w="283" w:type="dxa"/>
            <w:vMerge w:val="restart"/>
            <w:tcBorders>
              <w:top w:val="single" w:sz="4" w:space="0" w:color="auto"/>
              <w:left w:val="nil"/>
              <w:right w:val="nil"/>
            </w:tcBorders>
            <w:tcMar>
              <w:top w:w="57" w:type="dxa"/>
              <w:bottom w:w="57" w:type="dxa"/>
            </w:tcMar>
            <w:vAlign w:val="center"/>
          </w:tcPr>
          <w:p w14:paraId="13FF47BE" w14:textId="5E2AE8DF" w:rsidR="00C6090F" w:rsidRPr="002B79C1" w:rsidRDefault="00C6090F"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14</w:t>
            </w:r>
          </w:p>
        </w:tc>
        <w:tc>
          <w:tcPr>
            <w:tcW w:w="1844" w:type="dxa"/>
            <w:vMerge w:val="restart"/>
            <w:tcBorders>
              <w:top w:val="single" w:sz="4" w:space="0" w:color="auto"/>
              <w:left w:val="nil"/>
              <w:right w:val="nil"/>
            </w:tcBorders>
            <w:vAlign w:val="center"/>
          </w:tcPr>
          <w:p w14:paraId="43700A15" w14:textId="77777777" w:rsidR="00C6090F" w:rsidRPr="002B79C1" w:rsidRDefault="00C6090F" w:rsidP="00C6090F">
            <w:pPr>
              <w:spacing w:line="240" w:lineRule="auto"/>
              <w:rPr>
                <w:rFonts w:asciiTheme="minorHAnsi" w:hAnsiTheme="minorHAnsi" w:cstheme="minorHAnsi"/>
                <w:b/>
                <w:color w:val="000000"/>
                <w:sz w:val="18"/>
                <w:szCs w:val="18"/>
              </w:rPr>
            </w:pPr>
            <w:r w:rsidRPr="002B79C1">
              <w:rPr>
                <w:rFonts w:asciiTheme="minorHAnsi" w:hAnsiTheme="minorHAnsi" w:cstheme="minorHAnsi"/>
                <w:b/>
                <w:sz w:val="18"/>
                <w:szCs w:val="18"/>
                <w:lang w:eastAsia="de-DE"/>
              </w:rPr>
              <w:t>Worker Training</w:t>
            </w:r>
          </w:p>
        </w:tc>
        <w:tc>
          <w:tcPr>
            <w:tcW w:w="6944" w:type="dxa"/>
            <w:tcBorders>
              <w:left w:val="nil"/>
              <w:right w:val="nil"/>
            </w:tcBorders>
            <w:vAlign w:val="center"/>
          </w:tcPr>
          <w:p w14:paraId="6F2DF541" w14:textId="2DE4D1D6" w:rsidR="00C6090F" w:rsidRPr="002B79C1" w:rsidRDefault="00C6090F" w:rsidP="00C605D4">
            <w:pPr>
              <w:spacing w:line="240" w:lineRule="auto"/>
              <w:ind w:left="284" w:hanging="284"/>
              <w:contextualSpacing/>
              <w:rPr>
                <w:rFonts w:asciiTheme="minorHAnsi" w:hAnsiTheme="minorHAnsi" w:cstheme="minorHAnsi"/>
                <w:color w:val="000000"/>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rapid training of human workers</w:t>
            </w:r>
            <w:r w:rsidRPr="002B79C1">
              <w:rPr>
                <w:rFonts w:asciiTheme="minorHAnsi" w:hAnsiTheme="minorHAnsi" w:cstheme="minorHAnsi"/>
                <w:sz w:val="18"/>
                <w:szCs w:val="18"/>
              </w:rPr>
              <w:t xml:space="preserve"> by accelerating the onboarding of new employees or the upskilling of existing employees through comprehensive simulations.</w:t>
            </w:r>
          </w:p>
        </w:tc>
      </w:tr>
      <w:tr w:rsidR="00C6090F" w:rsidRPr="002B79C1" w14:paraId="4709BA40" w14:textId="77777777" w:rsidTr="007C57E6">
        <w:tc>
          <w:tcPr>
            <w:tcW w:w="283" w:type="dxa"/>
            <w:vMerge/>
            <w:tcBorders>
              <w:left w:val="nil"/>
              <w:bottom w:val="single" w:sz="4" w:space="0" w:color="auto"/>
              <w:right w:val="nil"/>
            </w:tcBorders>
            <w:tcMar>
              <w:top w:w="57" w:type="dxa"/>
              <w:bottom w:w="57" w:type="dxa"/>
            </w:tcMar>
            <w:vAlign w:val="center"/>
          </w:tcPr>
          <w:p w14:paraId="7EE0BDBA"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0EDB7811"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6E90E0B7" w14:textId="36DFD6DA" w:rsidR="00C6090F" w:rsidRPr="002B79C1" w:rsidRDefault="00C6090F"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lang w:val="de-DE"/>
              </w:rPr>
              <w:t xml:space="preserve">DHL and Z_punkt (2014), Frank et al. </w:t>
            </w:r>
            <w:r w:rsidRPr="002B79C1">
              <w:rPr>
                <w:rFonts w:asciiTheme="minorHAnsi" w:hAnsiTheme="minorHAnsi" w:cstheme="minorHAnsi"/>
                <w:color w:val="000000"/>
                <w:sz w:val="18"/>
                <w:szCs w:val="18"/>
              </w:rPr>
              <w:t>(2019), Meindl et al. (2021), PwC and Strategy&amp; (2016), Rejeb et al. (2021)</w:t>
            </w:r>
          </w:p>
        </w:tc>
      </w:tr>
      <w:tr w:rsidR="00C6090F" w:rsidRPr="002B79C1" w14:paraId="162C4415" w14:textId="77777777" w:rsidTr="007C57E6">
        <w:tc>
          <w:tcPr>
            <w:tcW w:w="283" w:type="dxa"/>
            <w:vMerge w:val="restart"/>
            <w:tcBorders>
              <w:top w:val="single" w:sz="4" w:space="0" w:color="auto"/>
              <w:left w:val="nil"/>
              <w:right w:val="nil"/>
            </w:tcBorders>
            <w:tcMar>
              <w:top w:w="57" w:type="dxa"/>
              <w:bottom w:w="57" w:type="dxa"/>
            </w:tcMar>
            <w:vAlign w:val="center"/>
          </w:tcPr>
          <w:p w14:paraId="61D6E74D" w14:textId="29214A91" w:rsidR="00C6090F" w:rsidRPr="002B79C1" w:rsidRDefault="00C6090F" w:rsidP="00C6090F">
            <w:pPr>
              <w:spacing w:line="240" w:lineRule="auto"/>
              <w:rPr>
                <w:rFonts w:asciiTheme="minorHAnsi" w:hAnsiTheme="minorHAnsi" w:cstheme="minorHAnsi"/>
                <w:b/>
                <w:sz w:val="18"/>
                <w:szCs w:val="18"/>
                <w:lang w:eastAsia="de-DE"/>
              </w:rPr>
            </w:pPr>
            <w:r w:rsidRPr="002B79C1">
              <w:rPr>
                <w:rFonts w:asciiTheme="minorHAnsi" w:hAnsiTheme="minorHAnsi" w:cstheme="minorHAnsi"/>
                <w:b/>
                <w:sz w:val="18"/>
                <w:szCs w:val="18"/>
              </w:rPr>
              <w:t>15</w:t>
            </w:r>
          </w:p>
        </w:tc>
        <w:tc>
          <w:tcPr>
            <w:tcW w:w="1844" w:type="dxa"/>
            <w:vMerge w:val="restart"/>
            <w:tcBorders>
              <w:top w:val="single" w:sz="4" w:space="0" w:color="auto"/>
              <w:left w:val="nil"/>
              <w:right w:val="nil"/>
            </w:tcBorders>
            <w:vAlign w:val="center"/>
          </w:tcPr>
          <w:p w14:paraId="0C745A0E" w14:textId="77777777" w:rsidR="00C6090F" w:rsidRPr="002B79C1" w:rsidRDefault="00C6090F" w:rsidP="00C6090F">
            <w:pPr>
              <w:spacing w:line="240" w:lineRule="auto"/>
              <w:rPr>
                <w:rFonts w:asciiTheme="minorHAnsi" w:hAnsiTheme="minorHAnsi" w:cstheme="minorHAnsi"/>
                <w:b/>
                <w:color w:val="000000"/>
                <w:sz w:val="18"/>
                <w:szCs w:val="18"/>
              </w:rPr>
            </w:pPr>
            <w:r w:rsidRPr="002B79C1">
              <w:rPr>
                <w:rFonts w:asciiTheme="minorHAnsi" w:hAnsiTheme="minorHAnsi" w:cstheme="minorHAnsi"/>
                <w:b/>
                <w:sz w:val="18"/>
                <w:szCs w:val="18"/>
                <w:lang w:eastAsia="de-DE"/>
              </w:rPr>
              <w:t>Assembly Control</w:t>
            </w:r>
          </w:p>
        </w:tc>
        <w:tc>
          <w:tcPr>
            <w:tcW w:w="6944" w:type="dxa"/>
            <w:tcBorders>
              <w:left w:val="nil"/>
              <w:right w:val="nil"/>
            </w:tcBorders>
            <w:vAlign w:val="center"/>
          </w:tcPr>
          <w:p w14:paraId="75C809C8" w14:textId="767DEADC" w:rsidR="00C6090F" w:rsidRPr="002B79C1" w:rsidRDefault="00C6090F" w:rsidP="00C605D4">
            <w:pPr>
              <w:spacing w:line="240" w:lineRule="auto"/>
              <w:ind w:left="284" w:hanging="284"/>
              <w:contextualSpacing/>
              <w:rPr>
                <w:rFonts w:asciiTheme="minorHAnsi" w:hAnsiTheme="minorHAnsi" w:cstheme="minorHAnsi"/>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control of assembly compliance</w:t>
            </w:r>
            <w:r w:rsidRPr="002B79C1">
              <w:rPr>
                <w:rFonts w:asciiTheme="minorHAnsi" w:hAnsiTheme="minorHAnsi" w:cstheme="minorHAnsi"/>
                <w:sz w:val="18"/>
                <w:szCs w:val="18"/>
              </w:rPr>
              <w:t xml:space="preserve"> by monitoring each process step and conducting in-line quality checks to detect process defects, report process errors, and initiate immediate process correction.</w:t>
            </w:r>
          </w:p>
        </w:tc>
      </w:tr>
      <w:tr w:rsidR="00C6090F" w:rsidRPr="002B79C1" w14:paraId="38318F92" w14:textId="77777777" w:rsidTr="007C57E6">
        <w:tc>
          <w:tcPr>
            <w:tcW w:w="283" w:type="dxa"/>
            <w:vMerge/>
            <w:tcBorders>
              <w:left w:val="nil"/>
              <w:bottom w:val="single" w:sz="4" w:space="0" w:color="auto"/>
              <w:right w:val="nil"/>
            </w:tcBorders>
            <w:tcMar>
              <w:top w:w="57" w:type="dxa"/>
              <w:bottom w:w="57" w:type="dxa"/>
            </w:tcMar>
            <w:vAlign w:val="center"/>
          </w:tcPr>
          <w:p w14:paraId="560D9A65"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62E8EE8F"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3FA50159" w14:textId="2544FB7F" w:rsidR="00C6090F" w:rsidRPr="002B79C1" w:rsidRDefault="00C6090F"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lang w:val="de-DE"/>
              </w:rPr>
              <w:t xml:space="preserve">Berkemeier et al. (2019), DHL and Z_punkt (2014), Fosso Wamba and Chatfield (2011), Meindl et al. </w:t>
            </w:r>
            <w:r w:rsidRPr="002B79C1">
              <w:rPr>
                <w:rFonts w:asciiTheme="minorHAnsi" w:hAnsiTheme="minorHAnsi" w:cstheme="minorHAnsi"/>
                <w:color w:val="000000"/>
                <w:sz w:val="18"/>
                <w:szCs w:val="18"/>
              </w:rPr>
              <w:t>(2021), PwC (2017), PwC (2019), Rejeb et al. (2021)</w:t>
            </w:r>
          </w:p>
        </w:tc>
      </w:tr>
      <w:tr w:rsidR="00C6090F" w:rsidRPr="002B79C1" w14:paraId="343AA570" w14:textId="77777777" w:rsidTr="007C57E6">
        <w:tc>
          <w:tcPr>
            <w:tcW w:w="283" w:type="dxa"/>
            <w:vMerge w:val="restart"/>
            <w:tcBorders>
              <w:top w:val="single" w:sz="4" w:space="0" w:color="auto"/>
              <w:left w:val="nil"/>
              <w:right w:val="nil"/>
            </w:tcBorders>
            <w:tcMar>
              <w:top w:w="57" w:type="dxa"/>
              <w:bottom w:w="57" w:type="dxa"/>
            </w:tcMar>
            <w:vAlign w:val="center"/>
          </w:tcPr>
          <w:p w14:paraId="1C3A9F47" w14:textId="05183E53" w:rsidR="00C6090F" w:rsidRPr="002B79C1" w:rsidRDefault="00C6090F" w:rsidP="00C6090F">
            <w:pPr>
              <w:spacing w:line="240" w:lineRule="auto"/>
              <w:rPr>
                <w:rFonts w:asciiTheme="minorHAnsi" w:hAnsiTheme="minorHAnsi" w:cstheme="minorHAnsi"/>
                <w:b/>
                <w:sz w:val="18"/>
                <w:szCs w:val="18"/>
                <w:lang w:eastAsia="de-DE"/>
              </w:rPr>
            </w:pPr>
            <w:r w:rsidRPr="002B79C1">
              <w:rPr>
                <w:rFonts w:asciiTheme="minorHAnsi" w:hAnsiTheme="minorHAnsi" w:cstheme="minorHAnsi"/>
                <w:b/>
                <w:sz w:val="18"/>
                <w:szCs w:val="18"/>
              </w:rPr>
              <w:t>16</w:t>
            </w:r>
          </w:p>
        </w:tc>
        <w:tc>
          <w:tcPr>
            <w:tcW w:w="1844" w:type="dxa"/>
            <w:vMerge w:val="restart"/>
            <w:tcBorders>
              <w:top w:val="single" w:sz="4" w:space="0" w:color="auto"/>
              <w:left w:val="nil"/>
              <w:right w:val="nil"/>
            </w:tcBorders>
            <w:vAlign w:val="center"/>
          </w:tcPr>
          <w:p w14:paraId="0FFD2583" w14:textId="77777777" w:rsidR="00C6090F" w:rsidRPr="002B79C1" w:rsidRDefault="00C6090F" w:rsidP="00C6090F">
            <w:pPr>
              <w:spacing w:line="240" w:lineRule="auto"/>
              <w:rPr>
                <w:rFonts w:asciiTheme="minorHAnsi" w:hAnsiTheme="minorHAnsi" w:cstheme="minorHAnsi"/>
                <w:b/>
                <w:color w:val="000000"/>
                <w:sz w:val="18"/>
                <w:szCs w:val="18"/>
              </w:rPr>
            </w:pPr>
            <w:r w:rsidRPr="002B79C1">
              <w:rPr>
                <w:rFonts w:asciiTheme="minorHAnsi" w:hAnsiTheme="minorHAnsi" w:cstheme="minorHAnsi"/>
                <w:b/>
                <w:sz w:val="18"/>
                <w:szCs w:val="18"/>
                <w:lang w:eastAsia="de-DE"/>
              </w:rPr>
              <w:t>Picking Control</w:t>
            </w:r>
          </w:p>
        </w:tc>
        <w:tc>
          <w:tcPr>
            <w:tcW w:w="6944" w:type="dxa"/>
            <w:tcBorders>
              <w:left w:val="nil"/>
              <w:right w:val="nil"/>
            </w:tcBorders>
            <w:vAlign w:val="center"/>
          </w:tcPr>
          <w:p w14:paraId="4FB029A6" w14:textId="1B1011FF" w:rsidR="00C6090F" w:rsidRPr="002B79C1" w:rsidRDefault="00C6090F" w:rsidP="00C605D4">
            <w:pPr>
              <w:spacing w:line="240" w:lineRule="auto"/>
              <w:ind w:left="284" w:hanging="284"/>
              <w:contextualSpacing/>
              <w:rPr>
                <w:rFonts w:asciiTheme="minorHAnsi" w:hAnsiTheme="minorHAnsi" w:cstheme="minorHAnsi"/>
                <w:color w:val="000000"/>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efficient and error-free picking of goods and materials</w:t>
            </w:r>
            <w:r w:rsidRPr="002B79C1">
              <w:rPr>
                <w:rFonts w:asciiTheme="minorHAnsi" w:hAnsiTheme="minorHAnsi" w:cstheme="minorHAnsi"/>
                <w:sz w:val="18"/>
                <w:szCs w:val="18"/>
              </w:rPr>
              <w:t xml:space="preserve"> by controlling whether the right item has been picked in the right quantity.</w:t>
            </w:r>
          </w:p>
        </w:tc>
      </w:tr>
      <w:tr w:rsidR="00C6090F" w:rsidRPr="002B79C1" w14:paraId="2A29C1C8" w14:textId="77777777" w:rsidTr="007C57E6">
        <w:tc>
          <w:tcPr>
            <w:tcW w:w="283" w:type="dxa"/>
            <w:vMerge/>
            <w:tcBorders>
              <w:left w:val="nil"/>
              <w:bottom w:val="single" w:sz="4" w:space="0" w:color="auto"/>
              <w:right w:val="nil"/>
            </w:tcBorders>
            <w:tcMar>
              <w:top w:w="57" w:type="dxa"/>
              <w:bottom w:w="57" w:type="dxa"/>
            </w:tcMar>
            <w:vAlign w:val="center"/>
          </w:tcPr>
          <w:p w14:paraId="0AD08482"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7C78142A"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18B6716B" w14:textId="45472E44" w:rsidR="00C6090F" w:rsidRPr="002B79C1" w:rsidRDefault="00C6090F"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 xml:space="preserve">DHL and IBM (2018), Dimakopoulou et al. (2014), Fosso Wamba and Chatfield (2011), Kembro et al. </w:t>
            </w:r>
            <w:r w:rsidRPr="002B79C1">
              <w:rPr>
                <w:rFonts w:asciiTheme="minorHAnsi" w:hAnsiTheme="minorHAnsi" w:cstheme="minorHAnsi"/>
                <w:color w:val="000000"/>
                <w:sz w:val="18"/>
                <w:szCs w:val="18"/>
                <w:lang w:val="de-DE"/>
              </w:rPr>
              <w:t xml:space="preserve">(2017), C. Lee et al. (2018), Meindl et al. (2021), Núñez-Merino et al. </w:t>
            </w:r>
            <w:r w:rsidRPr="002B79C1">
              <w:rPr>
                <w:rFonts w:asciiTheme="minorHAnsi" w:hAnsiTheme="minorHAnsi" w:cstheme="minorHAnsi"/>
                <w:color w:val="000000"/>
                <w:sz w:val="18"/>
                <w:szCs w:val="18"/>
              </w:rPr>
              <w:t>(2020), PwC (2019), Rejeb et al. (2021), Zhong et al. (2015)</w:t>
            </w:r>
          </w:p>
        </w:tc>
      </w:tr>
    </w:tbl>
    <w:p w14:paraId="511A37C3" w14:textId="35AE6349" w:rsidR="00B41149" w:rsidRDefault="00B41149"/>
    <w:tbl>
      <w:tblPr>
        <w:tblStyle w:val="TableGrid"/>
        <w:tblW w:w="9071" w:type="dxa"/>
        <w:tblCellMar>
          <w:top w:w="23" w:type="dxa"/>
          <w:left w:w="28" w:type="dxa"/>
          <w:bottom w:w="23" w:type="dxa"/>
          <w:right w:w="57" w:type="dxa"/>
        </w:tblCellMar>
        <w:tblLook w:val="04A0" w:firstRow="1" w:lastRow="0" w:firstColumn="1" w:lastColumn="0" w:noHBand="0" w:noVBand="1"/>
      </w:tblPr>
      <w:tblGrid>
        <w:gridCol w:w="283"/>
        <w:gridCol w:w="1844"/>
        <w:gridCol w:w="6944"/>
      </w:tblGrid>
      <w:tr w:rsidR="00C6090F" w:rsidRPr="002B79C1" w14:paraId="73E2AFFB" w14:textId="77777777" w:rsidTr="007C57E6">
        <w:tc>
          <w:tcPr>
            <w:tcW w:w="283" w:type="dxa"/>
            <w:vMerge w:val="restart"/>
            <w:tcBorders>
              <w:top w:val="single" w:sz="4" w:space="0" w:color="auto"/>
              <w:left w:val="nil"/>
              <w:right w:val="nil"/>
            </w:tcBorders>
            <w:tcMar>
              <w:top w:w="57" w:type="dxa"/>
              <w:bottom w:w="57" w:type="dxa"/>
            </w:tcMar>
            <w:vAlign w:val="center"/>
          </w:tcPr>
          <w:p w14:paraId="440F90BE" w14:textId="3097F838" w:rsidR="00C6090F" w:rsidRPr="002B79C1" w:rsidRDefault="00C6090F" w:rsidP="00C6090F">
            <w:pPr>
              <w:spacing w:line="240" w:lineRule="auto"/>
              <w:rPr>
                <w:rFonts w:asciiTheme="minorHAnsi" w:hAnsiTheme="minorHAnsi" w:cstheme="minorHAnsi"/>
                <w:b/>
                <w:sz w:val="18"/>
                <w:szCs w:val="18"/>
                <w:lang w:eastAsia="de-DE"/>
              </w:rPr>
            </w:pPr>
            <w:r w:rsidRPr="002B79C1">
              <w:rPr>
                <w:rFonts w:asciiTheme="minorHAnsi" w:hAnsiTheme="minorHAnsi" w:cstheme="minorHAnsi"/>
                <w:b/>
                <w:sz w:val="18"/>
                <w:szCs w:val="18"/>
              </w:rPr>
              <w:t>17</w:t>
            </w:r>
          </w:p>
        </w:tc>
        <w:tc>
          <w:tcPr>
            <w:tcW w:w="1844" w:type="dxa"/>
            <w:vMerge w:val="restart"/>
            <w:tcBorders>
              <w:top w:val="single" w:sz="4" w:space="0" w:color="auto"/>
              <w:left w:val="nil"/>
              <w:right w:val="nil"/>
            </w:tcBorders>
            <w:vAlign w:val="center"/>
          </w:tcPr>
          <w:p w14:paraId="2430905B" w14:textId="77777777" w:rsidR="00C6090F" w:rsidRPr="002B79C1" w:rsidRDefault="00C6090F"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Workload Control</w:t>
            </w:r>
          </w:p>
        </w:tc>
        <w:tc>
          <w:tcPr>
            <w:tcW w:w="6944" w:type="dxa"/>
            <w:tcBorders>
              <w:left w:val="nil"/>
              <w:right w:val="nil"/>
            </w:tcBorders>
            <w:vAlign w:val="center"/>
          </w:tcPr>
          <w:p w14:paraId="16346A67" w14:textId="667E7D6C" w:rsidR="00C6090F" w:rsidRPr="002B79C1" w:rsidRDefault="00C6090F" w:rsidP="00C605D4">
            <w:pPr>
              <w:spacing w:line="240" w:lineRule="auto"/>
              <w:ind w:left="284" w:hanging="284"/>
              <w:contextualSpacing/>
              <w:rPr>
                <w:rFonts w:asciiTheme="minorHAnsi" w:hAnsiTheme="minorHAnsi" w:cstheme="minorHAnsi"/>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control of the intensity of human worker tasks</w:t>
            </w:r>
            <w:r w:rsidRPr="002B79C1">
              <w:rPr>
                <w:rFonts w:asciiTheme="minorHAnsi" w:hAnsiTheme="minorHAnsi" w:cstheme="minorHAnsi"/>
                <w:sz w:val="18"/>
                <w:szCs w:val="18"/>
              </w:rPr>
              <w:t xml:space="preserve"> by measuring external forces and conditions (e.g., g-forces, light injection, temperature, noise pollution).</w:t>
            </w:r>
          </w:p>
        </w:tc>
      </w:tr>
      <w:tr w:rsidR="00C6090F" w:rsidRPr="002B79C1" w14:paraId="5A808B35" w14:textId="77777777" w:rsidTr="007C57E6">
        <w:tc>
          <w:tcPr>
            <w:tcW w:w="283" w:type="dxa"/>
            <w:vMerge/>
            <w:tcBorders>
              <w:left w:val="nil"/>
              <w:bottom w:val="single" w:sz="4" w:space="0" w:color="auto"/>
              <w:right w:val="nil"/>
            </w:tcBorders>
            <w:tcMar>
              <w:top w:w="57" w:type="dxa"/>
              <w:bottom w:w="57" w:type="dxa"/>
            </w:tcMar>
            <w:vAlign w:val="center"/>
          </w:tcPr>
          <w:p w14:paraId="790E52D8"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358D326A" w14:textId="77777777" w:rsidR="00C6090F" w:rsidRPr="002B79C1" w:rsidRDefault="00C6090F" w:rsidP="00C6090F">
            <w:pPr>
              <w:spacing w:line="240" w:lineRule="auto"/>
              <w:rPr>
                <w:rFonts w:asciiTheme="minorHAnsi" w:hAnsiTheme="minorHAnsi" w:cstheme="minorHAnsi"/>
                <w:b/>
                <w:sz w:val="18"/>
                <w:szCs w:val="18"/>
              </w:rPr>
            </w:pPr>
          </w:p>
        </w:tc>
        <w:tc>
          <w:tcPr>
            <w:tcW w:w="6944" w:type="dxa"/>
            <w:tcBorders>
              <w:left w:val="nil"/>
              <w:right w:val="nil"/>
            </w:tcBorders>
            <w:vAlign w:val="center"/>
          </w:tcPr>
          <w:p w14:paraId="4CC91D94" w14:textId="7ED473EA" w:rsidR="00C6090F" w:rsidRPr="002B79C1" w:rsidRDefault="00C6090F" w:rsidP="00C6090F">
            <w:pPr>
              <w:spacing w:line="240" w:lineRule="auto"/>
              <w:rPr>
                <w:rFonts w:asciiTheme="minorHAnsi" w:hAnsiTheme="minorHAnsi" w:cstheme="minorHAnsi"/>
                <w:sz w:val="18"/>
                <w:szCs w:val="18"/>
              </w:rPr>
            </w:pPr>
            <w:r w:rsidRPr="002B79C1">
              <w:rPr>
                <w:rFonts w:asciiTheme="minorHAnsi" w:hAnsiTheme="minorHAnsi" w:cstheme="minorHAnsi"/>
                <w:sz w:val="18"/>
                <w:szCs w:val="18"/>
              </w:rPr>
              <w:t>Rejeb et al. (2021), Zheng et al. (2021)</w:t>
            </w:r>
          </w:p>
        </w:tc>
      </w:tr>
      <w:tr w:rsidR="00C6090F" w:rsidRPr="002B79C1" w14:paraId="61C6DD9F" w14:textId="77777777" w:rsidTr="007C57E6">
        <w:tc>
          <w:tcPr>
            <w:tcW w:w="283" w:type="dxa"/>
            <w:vMerge w:val="restart"/>
            <w:tcBorders>
              <w:top w:val="single" w:sz="4" w:space="0" w:color="auto"/>
              <w:left w:val="nil"/>
              <w:right w:val="nil"/>
            </w:tcBorders>
            <w:tcMar>
              <w:top w:w="57" w:type="dxa"/>
              <w:bottom w:w="57" w:type="dxa"/>
            </w:tcMar>
            <w:vAlign w:val="center"/>
          </w:tcPr>
          <w:p w14:paraId="6018D98B" w14:textId="77777777" w:rsidR="00C6090F" w:rsidRPr="002B79C1" w:rsidRDefault="00C6090F"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18</w:t>
            </w:r>
          </w:p>
          <w:p w14:paraId="375079D3" w14:textId="2829A12C" w:rsidR="00C6090F" w:rsidRPr="002B79C1" w:rsidRDefault="00C6090F" w:rsidP="00C6090F">
            <w:pPr>
              <w:spacing w:line="240" w:lineRule="auto"/>
              <w:rPr>
                <w:rFonts w:asciiTheme="minorHAnsi" w:hAnsiTheme="minorHAnsi" w:cstheme="minorHAnsi"/>
                <w:b/>
                <w:sz w:val="18"/>
                <w:szCs w:val="18"/>
              </w:rPr>
            </w:pPr>
          </w:p>
        </w:tc>
        <w:tc>
          <w:tcPr>
            <w:tcW w:w="1844" w:type="dxa"/>
            <w:vMerge w:val="restart"/>
            <w:tcBorders>
              <w:top w:val="single" w:sz="4" w:space="0" w:color="auto"/>
              <w:left w:val="nil"/>
              <w:right w:val="nil"/>
            </w:tcBorders>
            <w:vAlign w:val="center"/>
          </w:tcPr>
          <w:p w14:paraId="255E670D" w14:textId="787E810C" w:rsidR="00C6090F" w:rsidRPr="002B79C1" w:rsidRDefault="00C6090F" w:rsidP="00C6090F">
            <w:pPr>
              <w:spacing w:line="240" w:lineRule="auto"/>
              <w:rPr>
                <w:rFonts w:asciiTheme="minorHAnsi" w:hAnsiTheme="minorHAnsi" w:cstheme="minorHAnsi"/>
                <w:b/>
                <w:color w:val="000000"/>
                <w:sz w:val="18"/>
                <w:szCs w:val="18"/>
              </w:rPr>
            </w:pPr>
            <w:r w:rsidRPr="002B79C1">
              <w:rPr>
                <w:rFonts w:asciiTheme="minorHAnsi" w:hAnsiTheme="minorHAnsi" w:cstheme="minorHAnsi"/>
                <w:b/>
                <w:sz w:val="18"/>
                <w:szCs w:val="18"/>
                <w:lang w:eastAsia="de-DE"/>
              </w:rPr>
              <w:t>Automatic</w:t>
            </w:r>
            <w:r w:rsidR="0061184E" w:rsidRPr="002B79C1">
              <w:rPr>
                <w:rFonts w:asciiTheme="minorHAnsi" w:hAnsiTheme="minorHAnsi" w:cstheme="minorHAnsi"/>
                <w:b/>
                <w:sz w:val="18"/>
                <w:szCs w:val="18"/>
                <w:lang w:eastAsia="de-DE"/>
              </w:rPr>
              <w:br/>
            </w:r>
            <w:r w:rsidRPr="002B79C1">
              <w:rPr>
                <w:rFonts w:asciiTheme="minorHAnsi" w:hAnsiTheme="minorHAnsi" w:cstheme="minorHAnsi"/>
                <w:b/>
                <w:sz w:val="18"/>
                <w:szCs w:val="18"/>
                <w:lang w:eastAsia="de-DE"/>
              </w:rPr>
              <w:t>Data Capturing</w:t>
            </w:r>
          </w:p>
        </w:tc>
        <w:tc>
          <w:tcPr>
            <w:tcW w:w="6944" w:type="dxa"/>
            <w:tcBorders>
              <w:left w:val="nil"/>
              <w:right w:val="nil"/>
            </w:tcBorders>
            <w:vAlign w:val="center"/>
          </w:tcPr>
          <w:p w14:paraId="7F28F834" w14:textId="61BCF04D" w:rsidR="00C6090F" w:rsidRPr="002B79C1" w:rsidRDefault="00C6090F" w:rsidP="00C605D4">
            <w:pPr>
              <w:spacing w:line="240" w:lineRule="auto"/>
              <w:ind w:left="284" w:hanging="284"/>
              <w:contextualSpacing/>
              <w:rPr>
                <w:rFonts w:asciiTheme="minorHAnsi" w:hAnsiTheme="minorHAnsi" w:cstheme="minorHAnsi"/>
                <w:color w:val="000000"/>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automation of data capturing</w:t>
            </w:r>
            <w:r w:rsidRPr="002B79C1">
              <w:rPr>
                <w:rFonts w:asciiTheme="minorHAnsi" w:hAnsiTheme="minorHAnsi" w:cstheme="minorHAnsi"/>
                <w:sz w:val="18"/>
                <w:szCs w:val="18"/>
              </w:rPr>
              <w:t xml:space="preserve"> and seamless integration into corresponding information systems by automatically acquiring information (e.g., quantity, volume, SKU number, order number, customer data) and by documenting each step performed during manual tasks.</w:t>
            </w:r>
          </w:p>
        </w:tc>
      </w:tr>
      <w:tr w:rsidR="00C6090F" w:rsidRPr="002B79C1" w14:paraId="4CD87634" w14:textId="77777777" w:rsidTr="007C57E6">
        <w:tc>
          <w:tcPr>
            <w:tcW w:w="283" w:type="dxa"/>
            <w:vMerge/>
            <w:tcBorders>
              <w:left w:val="nil"/>
              <w:bottom w:val="single" w:sz="4" w:space="0" w:color="auto"/>
              <w:right w:val="nil"/>
            </w:tcBorders>
            <w:tcMar>
              <w:top w:w="57" w:type="dxa"/>
              <w:bottom w:w="57" w:type="dxa"/>
            </w:tcMar>
            <w:vAlign w:val="center"/>
          </w:tcPr>
          <w:p w14:paraId="582AD73C"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7E900C42"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03AADC77" w14:textId="2CF4B222" w:rsidR="00C6090F" w:rsidRPr="002B79C1" w:rsidRDefault="00C6090F"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Coronado Mondragon et al. (2017), DHL and Cisco (2015), DHL and Detecon (2016), DHL and Z_punkt (2014), Dimakopoulou et al. (2014), Kembro et al. (2017), C. Lee et al. (2018), Miebach Consulting GmbH (2018), Zhong et al. (2015), Zhong et al. (2017)</w:t>
            </w:r>
          </w:p>
        </w:tc>
      </w:tr>
      <w:tr w:rsidR="00E31334" w:rsidRPr="002B79C1" w14:paraId="3206674C" w14:textId="77777777" w:rsidTr="007C57E6">
        <w:tc>
          <w:tcPr>
            <w:tcW w:w="283" w:type="dxa"/>
            <w:vMerge w:val="restart"/>
            <w:tcBorders>
              <w:top w:val="single" w:sz="4" w:space="0" w:color="auto"/>
              <w:left w:val="nil"/>
              <w:right w:val="nil"/>
            </w:tcBorders>
            <w:tcMar>
              <w:top w:w="57" w:type="dxa"/>
              <w:bottom w:w="57" w:type="dxa"/>
            </w:tcMar>
            <w:vAlign w:val="center"/>
          </w:tcPr>
          <w:p w14:paraId="657F2070" w14:textId="1659C7AC" w:rsidR="00E31334" w:rsidRPr="002B79C1" w:rsidRDefault="00E31334"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19</w:t>
            </w:r>
          </w:p>
          <w:p w14:paraId="590C600C" w14:textId="77777777" w:rsidR="00E31334" w:rsidRPr="002B79C1" w:rsidRDefault="00E31334" w:rsidP="00C6090F">
            <w:pPr>
              <w:spacing w:line="240" w:lineRule="auto"/>
              <w:rPr>
                <w:rFonts w:asciiTheme="minorHAnsi" w:hAnsiTheme="minorHAnsi" w:cstheme="minorHAnsi"/>
                <w:b/>
                <w:sz w:val="18"/>
                <w:szCs w:val="18"/>
                <w:lang w:eastAsia="de-DE"/>
              </w:rPr>
            </w:pPr>
          </w:p>
        </w:tc>
        <w:tc>
          <w:tcPr>
            <w:tcW w:w="1844" w:type="dxa"/>
            <w:vMerge w:val="restart"/>
            <w:tcBorders>
              <w:top w:val="single" w:sz="4" w:space="0" w:color="auto"/>
              <w:left w:val="nil"/>
              <w:right w:val="nil"/>
            </w:tcBorders>
            <w:vAlign w:val="center"/>
          </w:tcPr>
          <w:p w14:paraId="4ACD93C3" w14:textId="2A095E98" w:rsidR="00E31334" w:rsidRPr="002B79C1" w:rsidRDefault="00E31334"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lang w:eastAsia="de-DE"/>
              </w:rPr>
              <w:t>Automatic</w:t>
            </w:r>
            <w:r w:rsidR="0061184E" w:rsidRPr="002B79C1">
              <w:rPr>
                <w:rFonts w:asciiTheme="minorHAnsi" w:hAnsiTheme="minorHAnsi" w:cstheme="minorHAnsi"/>
                <w:b/>
                <w:sz w:val="18"/>
                <w:szCs w:val="18"/>
                <w:lang w:eastAsia="de-DE"/>
              </w:rPr>
              <w:br/>
            </w:r>
            <w:r w:rsidRPr="002B79C1">
              <w:rPr>
                <w:rFonts w:asciiTheme="minorHAnsi" w:hAnsiTheme="minorHAnsi" w:cstheme="minorHAnsi"/>
                <w:b/>
                <w:sz w:val="18"/>
                <w:szCs w:val="18"/>
                <w:lang w:eastAsia="de-DE"/>
              </w:rPr>
              <w:t>Goods Inspection</w:t>
            </w:r>
          </w:p>
        </w:tc>
        <w:tc>
          <w:tcPr>
            <w:tcW w:w="6944" w:type="dxa"/>
            <w:tcBorders>
              <w:left w:val="nil"/>
              <w:right w:val="nil"/>
            </w:tcBorders>
            <w:vAlign w:val="center"/>
          </w:tcPr>
          <w:p w14:paraId="641C7020" w14:textId="3A1A70A3" w:rsidR="00E31334" w:rsidRPr="002B79C1" w:rsidRDefault="00E31334" w:rsidP="00C605D4">
            <w:pPr>
              <w:spacing w:line="240" w:lineRule="auto"/>
              <w:ind w:left="284" w:hanging="284"/>
              <w:contextualSpacing/>
              <w:rPr>
                <w:rFonts w:asciiTheme="minorHAnsi" w:hAnsiTheme="minorHAnsi" w:cstheme="minorHAnsi"/>
                <w:color w:val="000000"/>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automation of quality control and assurance</w:t>
            </w:r>
            <w:r w:rsidRPr="002B79C1">
              <w:rPr>
                <w:rFonts w:asciiTheme="minorHAnsi" w:hAnsiTheme="minorHAnsi" w:cstheme="minorHAnsi"/>
                <w:sz w:val="18"/>
                <w:szCs w:val="18"/>
              </w:rPr>
              <w:t xml:space="preserve"> after goods receipt or before goods dispatch by identifying the defect regarding the reference product, classifying the type of defect, and determining appropriate corrective measures for repair.</w:t>
            </w:r>
          </w:p>
        </w:tc>
      </w:tr>
      <w:tr w:rsidR="00C6090F" w:rsidRPr="002B79C1" w14:paraId="485258F1" w14:textId="77777777" w:rsidTr="007C57E6">
        <w:tc>
          <w:tcPr>
            <w:tcW w:w="283" w:type="dxa"/>
            <w:vMerge/>
            <w:tcBorders>
              <w:left w:val="nil"/>
              <w:bottom w:val="single" w:sz="4" w:space="0" w:color="auto"/>
              <w:right w:val="nil"/>
            </w:tcBorders>
            <w:tcMar>
              <w:top w:w="57" w:type="dxa"/>
              <w:bottom w:w="57" w:type="dxa"/>
            </w:tcMar>
            <w:vAlign w:val="center"/>
          </w:tcPr>
          <w:p w14:paraId="5F3AA9ED"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6895DA16"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40639B87" w14:textId="6A455DD5" w:rsidR="00C6090F" w:rsidRPr="002B79C1" w:rsidRDefault="00E31334"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DHL and Cisco (2015), DHL and Detecon (2016), DHL and IBM (2018), Fosso Wamba and Chatfield (2011), Kembro et al. (2017), Rejeb et al. (2021), Zheng et al. (2021)</w:t>
            </w:r>
          </w:p>
        </w:tc>
      </w:tr>
      <w:tr w:rsidR="00E31334" w:rsidRPr="002B79C1" w14:paraId="7BE7ACF0" w14:textId="77777777" w:rsidTr="007C57E6">
        <w:tc>
          <w:tcPr>
            <w:tcW w:w="283" w:type="dxa"/>
            <w:vMerge w:val="restart"/>
            <w:tcBorders>
              <w:top w:val="single" w:sz="4" w:space="0" w:color="auto"/>
              <w:left w:val="nil"/>
              <w:right w:val="nil"/>
            </w:tcBorders>
            <w:tcMar>
              <w:top w:w="57" w:type="dxa"/>
              <w:bottom w:w="57" w:type="dxa"/>
            </w:tcMar>
            <w:vAlign w:val="center"/>
          </w:tcPr>
          <w:p w14:paraId="6625F449" w14:textId="44BD1135" w:rsidR="00E31334" w:rsidRPr="002B79C1" w:rsidRDefault="00E31334"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20</w:t>
            </w:r>
          </w:p>
          <w:p w14:paraId="59196F2E" w14:textId="77777777" w:rsidR="00E31334" w:rsidRPr="002B79C1" w:rsidRDefault="00E31334" w:rsidP="00C6090F">
            <w:pPr>
              <w:spacing w:line="240" w:lineRule="auto"/>
              <w:rPr>
                <w:rFonts w:asciiTheme="minorHAnsi" w:hAnsiTheme="minorHAnsi" w:cstheme="minorHAnsi"/>
                <w:b/>
                <w:sz w:val="18"/>
                <w:szCs w:val="18"/>
                <w:lang w:eastAsia="de-DE"/>
              </w:rPr>
            </w:pPr>
          </w:p>
        </w:tc>
        <w:tc>
          <w:tcPr>
            <w:tcW w:w="1844" w:type="dxa"/>
            <w:vMerge w:val="restart"/>
            <w:tcBorders>
              <w:top w:val="single" w:sz="4" w:space="0" w:color="auto"/>
              <w:left w:val="nil"/>
              <w:right w:val="nil"/>
            </w:tcBorders>
            <w:vAlign w:val="center"/>
          </w:tcPr>
          <w:p w14:paraId="3FCB2FAC" w14:textId="4E37412A" w:rsidR="00E31334" w:rsidRPr="002B79C1" w:rsidRDefault="00E31334" w:rsidP="00C6090F">
            <w:pPr>
              <w:spacing w:line="240" w:lineRule="auto"/>
              <w:rPr>
                <w:rFonts w:asciiTheme="minorHAnsi" w:hAnsiTheme="minorHAnsi" w:cstheme="minorHAnsi"/>
                <w:b/>
                <w:color w:val="000000"/>
                <w:sz w:val="18"/>
                <w:szCs w:val="18"/>
              </w:rPr>
            </w:pPr>
            <w:r w:rsidRPr="002B79C1">
              <w:rPr>
                <w:rFonts w:asciiTheme="minorHAnsi" w:hAnsiTheme="minorHAnsi" w:cstheme="minorHAnsi"/>
                <w:b/>
                <w:sz w:val="18"/>
                <w:szCs w:val="18"/>
                <w:lang w:eastAsia="de-DE"/>
              </w:rPr>
              <w:t>Automatic</w:t>
            </w:r>
            <w:r w:rsidR="0061184E" w:rsidRPr="002B79C1">
              <w:rPr>
                <w:rFonts w:asciiTheme="minorHAnsi" w:hAnsiTheme="minorHAnsi" w:cstheme="minorHAnsi"/>
                <w:b/>
                <w:sz w:val="18"/>
                <w:szCs w:val="18"/>
                <w:lang w:eastAsia="de-DE"/>
              </w:rPr>
              <w:br/>
            </w:r>
            <w:r w:rsidRPr="002B79C1">
              <w:rPr>
                <w:rFonts w:asciiTheme="minorHAnsi" w:hAnsiTheme="minorHAnsi" w:cstheme="minorHAnsi"/>
                <w:b/>
                <w:sz w:val="18"/>
                <w:szCs w:val="18"/>
                <w:lang w:eastAsia="de-DE"/>
              </w:rPr>
              <w:t>Handling Operations</w:t>
            </w:r>
          </w:p>
        </w:tc>
        <w:tc>
          <w:tcPr>
            <w:tcW w:w="6944" w:type="dxa"/>
            <w:tcBorders>
              <w:left w:val="nil"/>
              <w:right w:val="nil"/>
            </w:tcBorders>
            <w:vAlign w:val="center"/>
          </w:tcPr>
          <w:p w14:paraId="5BFFB5A0" w14:textId="7F990ED3" w:rsidR="00E31334" w:rsidRPr="002B79C1" w:rsidRDefault="00E31334" w:rsidP="00C605D4">
            <w:pPr>
              <w:spacing w:line="240" w:lineRule="auto"/>
              <w:ind w:left="284" w:hanging="284"/>
              <w:contextualSpacing/>
              <w:rPr>
                <w:rFonts w:asciiTheme="minorHAnsi" w:hAnsiTheme="minorHAnsi" w:cstheme="minorHAnsi"/>
                <w:color w:val="000000"/>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automation of manual handling activities</w:t>
            </w:r>
            <w:r w:rsidRPr="002B79C1">
              <w:rPr>
                <w:rFonts w:asciiTheme="minorHAnsi" w:hAnsiTheme="minorHAnsi" w:cstheme="minorHAnsi"/>
                <w:sz w:val="18"/>
                <w:szCs w:val="18"/>
              </w:rPr>
              <w:t xml:space="preserve"> by performing repetitive, monotonous, ergonomically difficult, and physically demanding tasks with significantly reduced fatigue.</w:t>
            </w:r>
          </w:p>
        </w:tc>
      </w:tr>
      <w:tr w:rsidR="00C6090F" w:rsidRPr="002B79C1" w14:paraId="0D4F326F" w14:textId="77777777" w:rsidTr="007C57E6">
        <w:tc>
          <w:tcPr>
            <w:tcW w:w="283" w:type="dxa"/>
            <w:vMerge/>
            <w:tcBorders>
              <w:left w:val="nil"/>
              <w:bottom w:val="single" w:sz="4" w:space="0" w:color="auto"/>
              <w:right w:val="nil"/>
            </w:tcBorders>
            <w:tcMar>
              <w:top w:w="57" w:type="dxa"/>
              <w:bottom w:w="57" w:type="dxa"/>
            </w:tcMar>
            <w:vAlign w:val="center"/>
          </w:tcPr>
          <w:p w14:paraId="4E4BFCA2"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5427A68C"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2DFAE5D0" w14:textId="142FB820" w:rsidR="00C6090F" w:rsidRPr="002B79C1" w:rsidRDefault="00E31334"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Chung (2021), DHL and Detecon (2016) DHL and IBM (2018), Fescioglu-Unver et al. (2015), Frank et al. (2019), Gartner (2022), Leofante et al. (2019), Morenza-Cinos et al. (2019), PwC (2017), PwC (2020), Rejeb et al. (2021)</w:t>
            </w:r>
          </w:p>
        </w:tc>
      </w:tr>
      <w:tr w:rsidR="00E31334" w:rsidRPr="002B79C1" w14:paraId="4C6F20F7" w14:textId="77777777" w:rsidTr="007C57E6">
        <w:tc>
          <w:tcPr>
            <w:tcW w:w="283" w:type="dxa"/>
            <w:vMerge w:val="restart"/>
            <w:tcBorders>
              <w:top w:val="single" w:sz="4" w:space="0" w:color="auto"/>
              <w:left w:val="nil"/>
              <w:right w:val="nil"/>
            </w:tcBorders>
            <w:tcMar>
              <w:top w:w="57" w:type="dxa"/>
              <w:bottom w:w="57" w:type="dxa"/>
            </w:tcMar>
            <w:vAlign w:val="center"/>
          </w:tcPr>
          <w:p w14:paraId="4A980C80" w14:textId="77777777" w:rsidR="00E31334" w:rsidRDefault="00E31334"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21</w:t>
            </w:r>
          </w:p>
          <w:p w14:paraId="66F03AF8" w14:textId="21015148" w:rsidR="00E31334" w:rsidRPr="002B79C1" w:rsidRDefault="00E31334" w:rsidP="00C6090F">
            <w:pPr>
              <w:spacing w:line="240" w:lineRule="auto"/>
              <w:rPr>
                <w:rFonts w:asciiTheme="minorHAnsi" w:hAnsiTheme="minorHAnsi" w:cstheme="minorHAnsi"/>
                <w:b/>
                <w:sz w:val="18"/>
                <w:szCs w:val="18"/>
              </w:rPr>
            </w:pPr>
          </w:p>
        </w:tc>
        <w:tc>
          <w:tcPr>
            <w:tcW w:w="1844" w:type="dxa"/>
            <w:vMerge w:val="restart"/>
            <w:tcBorders>
              <w:top w:val="single" w:sz="4" w:space="0" w:color="auto"/>
              <w:left w:val="nil"/>
              <w:right w:val="nil"/>
            </w:tcBorders>
            <w:vAlign w:val="center"/>
          </w:tcPr>
          <w:p w14:paraId="29131D0E" w14:textId="734108F3" w:rsidR="00E31334" w:rsidRPr="002B79C1" w:rsidRDefault="00E31334" w:rsidP="00C6090F">
            <w:pPr>
              <w:spacing w:line="240" w:lineRule="auto"/>
              <w:rPr>
                <w:rFonts w:asciiTheme="minorHAnsi" w:hAnsiTheme="minorHAnsi" w:cstheme="minorHAnsi"/>
                <w:b/>
                <w:color w:val="000000"/>
                <w:sz w:val="18"/>
                <w:szCs w:val="18"/>
              </w:rPr>
            </w:pPr>
            <w:r w:rsidRPr="002B79C1">
              <w:rPr>
                <w:rFonts w:asciiTheme="minorHAnsi" w:hAnsiTheme="minorHAnsi" w:cstheme="minorHAnsi"/>
                <w:b/>
                <w:sz w:val="18"/>
                <w:szCs w:val="18"/>
                <w:lang w:eastAsia="de-DE"/>
              </w:rPr>
              <w:t>Automatic</w:t>
            </w:r>
            <w:r w:rsidR="00243297">
              <w:rPr>
                <w:rFonts w:asciiTheme="minorHAnsi" w:hAnsiTheme="minorHAnsi" w:cstheme="minorHAnsi"/>
                <w:b/>
                <w:sz w:val="18"/>
                <w:szCs w:val="18"/>
                <w:lang w:eastAsia="de-DE"/>
              </w:rPr>
              <w:br/>
            </w:r>
            <w:r w:rsidRPr="002B79C1">
              <w:rPr>
                <w:rFonts w:asciiTheme="minorHAnsi" w:hAnsiTheme="minorHAnsi" w:cstheme="minorHAnsi"/>
                <w:b/>
                <w:sz w:val="18"/>
                <w:szCs w:val="18"/>
                <w:lang w:eastAsia="de-DE"/>
              </w:rPr>
              <w:t>(Un-)Loading</w:t>
            </w:r>
          </w:p>
        </w:tc>
        <w:tc>
          <w:tcPr>
            <w:tcW w:w="6944" w:type="dxa"/>
            <w:tcBorders>
              <w:left w:val="nil"/>
              <w:right w:val="nil"/>
            </w:tcBorders>
            <w:vAlign w:val="center"/>
          </w:tcPr>
          <w:p w14:paraId="24E6FC70" w14:textId="13EA77A0" w:rsidR="00E31334" w:rsidRPr="002B79C1" w:rsidRDefault="00E31334" w:rsidP="00C605D4">
            <w:pPr>
              <w:spacing w:line="240" w:lineRule="auto"/>
              <w:ind w:left="284" w:hanging="284"/>
              <w:contextualSpacing/>
              <w:rPr>
                <w:rFonts w:asciiTheme="minorHAnsi" w:hAnsiTheme="minorHAnsi" w:cstheme="minorHAnsi"/>
                <w:color w:val="000000"/>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automation of the (un)loading of (un)palletized goods</w:t>
            </w:r>
            <w:r w:rsidRPr="002B79C1">
              <w:rPr>
                <w:rFonts w:asciiTheme="minorHAnsi" w:hAnsiTheme="minorHAnsi" w:cstheme="minorHAnsi"/>
                <w:sz w:val="18"/>
                <w:szCs w:val="18"/>
              </w:rPr>
              <w:t xml:space="preserve"> of different shapes and sizes by intelligently maneuvering and positioning goods and determining the optimal (un)loading speed and sequence.</w:t>
            </w:r>
          </w:p>
        </w:tc>
      </w:tr>
      <w:tr w:rsidR="00C6090F" w:rsidRPr="002B79C1" w14:paraId="46133A4B" w14:textId="77777777" w:rsidTr="007C57E6">
        <w:tc>
          <w:tcPr>
            <w:tcW w:w="283" w:type="dxa"/>
            <w:vMerge/>
            <w:tcBorders>
              <w:left w:val="nil"/>
              <w:bottom w:val="single" w:sz="4" w:space="0" w:color="auto"/>
              <w:right w:val="nil"/>
            </w:tcBorders>
            <w:tcMar>
              <w:top w:w="57" w:type="dxa"/>
              <w:bottom w:w="57" w:type="dxa"/>
            </w:tcMar>
            <w:vAlign w:val="center"/>
          </w:tcPr>
          <w:p w14:paraId="7F7B1C77"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30FFFFDC"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00F4B011" w14:textId="1696D8D2" w:rsidR="00C6090F" w:rsidRPr="002B79C1" w:rsidRDefault="00E31334"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Arthur D. Little (2017), Chung (2021), DHL and Detecon (2016), Miebach Consulting GmbH (2018), Oliveira-Dias et al. (2022), PwC (2019)</w:t>
            </w:r>
          </w:p>
        </w:tc>
      </w:tr>
      <w:tr w:rsidR="00E31334" w:rsidRPr="002B79C1" w14:paraId="3ED56466" w14:textId="77777777" w:rsidTr="007C57E6">
        <w:tc>
          <w:tcPr>
            <w:tcW w:w="283" w:type="dxa"/>
            <w:vMerge w:val="restart"/>
            <w:tcBorders>
              <w:top w:val="single" w:sz="4" w:space="0" w:color="auto"/>
              <w:left w:val="nil"/>
              <w:right w:val="nil"/>
            </w:tcBorders>
            <w:tcMar>
              <w:top w:w="57" w:type="dxa"/>
              <w:bottom w:w="57" w:type="dxa"/>
            </w:tcMar>
            <w:vAlign w:val="center"/>
          </w:tcPr>
          <w:p w14:paraId="5069E1A9" w14:textId="4CEC6A7F" w:rsidR="00E31334" w:rsidRPr="002B79C1" w:rsidRDefault="00E31334"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22</w:t>
            </w:r>
          </w:p>
          <w:p w14:paraId="0902E78A" w14:textId="77777777" w:rsidR="00E31334" w:rsidRPr="002B79C1" w:rsidRDefault="00E31334" w:rsidP="00C6090F">
            <w:pPr>
              <w:spacing w:line="240" w:lineRule="auto"/>
              <w:rPr>
                <w:rFonts w:asciiTheme="minorHAnsi" w:hAnsiTheme="minorHAnsi" w:cstheme="minorHAnsi"/>
                <w:b/>
                <w:sz w:val="18"/>
                <w:szCs w:val="18"/>
                <w:lang w:eastAsia="de-DE"/>
              </w:rPr>
            </w:pPr>
          </w:p>
        </w:tc>
        <w:tc>
          <w:tcPr>
            <w:tcW w:w="1844" w:type="dxa"/>
            <w:vMerge w:val="restart"/>
            <w:tcBorders>
              <w:top w:val="single" w:sz="4" w:space="0" w:color="auto"/>
              <w:left w:val="nil"/>
              <w:right w:val="nil"/>
            </w:tcBorders>
            <w:vAlign w:val="center"/>
          </w:tcPr>
          <w:p w14:paraId="4F795620" w14:textId="5E223113" w:rsidR="00E31334" w:rsidRPr="002B79C1" w:rsidRDefault="00E31334" w:rsidP="00C6090F">
            <w:pPr>
              <w:spacing w:line="240" w:lineRule="auto"/>
              <w:rPr>
                <w:rFonts w:asciiTheme="minorHAnsi" w:hAnsiTheme="minorHAnsi" w:cstheme="minorHAnsi"/>
                <w:b/>
                <w:color w:val="000000"/>
                <w:sz w:val="18"/>
                <w:szCs w:val="18"/>
              </w:rPr>
            </w:pPr>
            <w:r w:rsidRPr="002B79C1">
              <w:rPr>
                <w:rFonts w:asciiTheme="minorHAnsi" w:hAnsiTheme="minorHAnsi" w:cstheme="minorHAnsi"/>
                <w:b/>
                <w:sz w:val="18"/>
                <w:szCs w:val="18"/>
                <w:lang w:eastAsia="de-DE"/>
              </w:rPr>
              <w:t>Automatic</w:t>
            </w:r>
            <w:r w:rsidR="005174D8" w:rsidRPr="002B79C1">
              <w:rPr>
                <w:rFonts w:asciiTheme="minorHAnsi" w:hAnsiTheme="minorHAnsi" w:cstheme="minorHAnsi"/>
                <w:b/>
                <w:sz w:val="18"/>
                <w:szCs w:val="18"/>
                <w:lang w:eastAsia="de-DE"/>
              </w:rPr>
              <w:br/>
            </w:r>
            <w:r w:rsidRPr="002B79C1">
              <w:rPr>
                <w:rFonts w:asciiTheme="minorHAnsi" w:hAnsiTheme="minorHAnsi" w:cstheme="minorHAnsi"/>
                <w:b/>
                <w:sz w:val="18"/>
                <w:szCs w:val="18"/>
                <w:lang w:eastAsia="de-DE"/>
              </w:rPr>
              <w:t xml:space="preserve">Picking </w:t>
            </w:r>
            <w:r w:rsidR="000012D9" w:rsidRPr="002B79C1">
              <w:rPr>
                <w:rFonts w:asciiTheme="minorHAnsi" w:hAnsiTheme="minorHAnsi" w:cstheme="minorHAnsi"/>
                <w:b/>
                <w:sz w:val="18"/>
                <w:szCs w:val="18"/>
                <w:lang w:eastAsia="de-DE"/>
              </w:rPr>
              <w:t>and</w:t>
            </w:r>
            <w:r w:rsidRPr="002B79C1">
              <w:rPr>
                <w:rFonts w:asciiTheme="minorHAnsi" w:hAnsiTheme="minorHAnsi" w:cstheme="minorHAnsi"/>
                <w:b/>
                <w:sz w:val="18"/>
                <w:szCs w:val="18"/>
                <w:lang w:eastAsia="de-DE"/>
              </w:rPr>
              <w:t xml:space="preserve"> Packaging</w:t>
            </w:r>
          </w:p>
        </w:tc>
        <w:tc>
          <w:tcPr>
            <w:tcW w:w="6944" w:type="dxa"/>
            <w:tcBorders>
              <w:left w:val="nil"/>
              <w:right w:val="nil"/>
            </w:tcBorders>
            <w:vAlign w:val="center"/>
          </w:tcPr>
          <w:p w14:paraId="32F36779" w14:textId="2C85BF9A" w:rsidR="00E31334" w:rsidRPr="002B79C1" w:rsidRDefault="00E31334" w:rsidP="00C605D4">
            <w:pPr>
              <w:spacing w:line="240" w:lineRule="auto"/>
              <w:ind w:left="284" w:hanging="284"/>
              <w:contextualSpacing/>
              <w:rPr>
                <w:rFonts w:asciiTheme="minorHAnsi" w:hAnsiTheme="minorHAnsi" w:cstheme="minorHAnsi"/>
                <w:color w:val="000000"/>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automation of picking and packing activities</w:t>
            </w:r>
            <w:r w:rsidRPr="002B79C1">
              <w:rPr>
                <w:rFonts w:asciiTheme="minorHAnsi" w:hAnsiTheme="minorHAnsi" w:cstheme="minorHAnsi"/>
                <w:sz w:val="18"/>
                <w:szCs w:val="18"/>
              </w:rPr>
              <w:t xml:space="preserve"> by autonomously handling and navigating goods through warehouse or production facilities.</w:t>
            </w:r>
          </w:p>
        </w:tc>
      </w:tr>
      <w:tr w:rsidR="00C6090F" w:rsidRPr="002B79C1" w14:paraId="44CC7428" w14:textId="77777777" w:rsidTr="007C57E6">
        <w:tc>
          <w:tcPr>
            <w:tcW w:w="283" w:type="dxa"/>
            <w:vMerge/>
            <w:tcBorders>
              <w:left w:val="nil"/>
              <w:bottom w:val="single" w:sz="4" w:space="0" w:color="auto"/>
              <w:right w:val="nil"/>
            </w:tcBorders>
            <w:tcMar>
              <w:top w:w="57" w:type="dxa"/>
              <w:bottom w:w="57" w:type="dxa"/>
            </w:tcMar>
            <w:vAlign w:val="center"/>
          </w:tcPr>
          <w:p w14:paraId="3FF4CDDA"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2D89E918"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478E9A90" w14:textId="5481658B" w:rsidR="00C6090F" w:rsidRPr="002B79C1" w:rsidRDefault="00E31334"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Chou et al. (2012), Chung (2021), Coelho et al. (2021), DHL and Detecon (2016) DHL and IBM (2018), Frank et al. (2019), He et al. (2018), Ivanov et al. (2019), Kousi et al. (2019), C. Lee et al. (2018), Núñez-Merino et al. (2020), Piccinini et al. (2013), PwC (2017), PwC (2019), Rejeb et al. (2021), J. Wang et al. (2020), Zheng et al. (2021)</w:t>
            </w:r>
          </w:p>
        </w:tc>
      </w:tr>
      <w:tr w:rsidR="00E31334" w:rsidRPr="002B79C1" w14:paraId="0C34F29B" w14:textId="77777777" w:rsidTr="007C57E6">
        <w:tc>
          <w:tcPr>
            <w:tcW w:w="283" w:type="dxa"/>
            <w:vMerge w:val="restart"/>
            <w:tcBorders>
              <w:top w:val="single" w:sz="4" w:space="0" w:color="auto"/>
              <w:left w:val="nil"/>
              <w:right w:val="nil"/>
            </w:tcBorders>
            <w:tcMar>
              <w:top w:w="57" w:type="dxa"/>
              <w:bottom w:w="57" w:type="dxa"/>
            </w:tcMar>
            <w:vAlign w:val="center"/>
          </w:tcPr>
          <w:p w14:paraId="4CB103BD" w14:textId="77777777" w:rsidR="00E31334" w:rsidRPr="002B79C1" w:rsidRDefault="00E31334"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23</w:t>
            </w:r>
          </w:p>
          <w:p w14:paraId="29419719" w14:textId="723A969D" w:rsidR="00E31334" w:rsidRPr="002B79C1" w:rsidRDefault="00E31334" w:rsidP="00C6090F">
            <w:pPr>
              <w:spacing w:line="240" w:lineRule="auto"/>
              <w:rPr>
                <w:rFonts w:asciiTheme="minorHAnsi" w:hAnsiTheme="minorHAnsi" w:cstheme="minorHAnsi"/>
                <w:b/>
                <w:sz w:val="18"/>
                <w:szCs w:val="18"/>
                <w:lang w:eastAsia="de-DE"/>
              </w:rPr>
            </w:pPr>
          </w:p>
        </w:tc>
        <w:tc>
          <w:tcPr>
            <w:tcW w:w="1844" w:type="dxa"/>
            <w:vMerge w:val="restart"/>
            <w:tcBorders>
              <w:top w:val="single" w:sz="4" w:space="0" w:color="auto"/>
              <w:left w:val="nil"/>
              <w:right w:val="nil"/>
            </w:tcBorders>
            <w:vAlign w:val="center"/>
          </w:tcPr>
          <w:p w14:paraId="544E6370" w14:textId="14393889" w:rsidR="00E31334" w:rsidRPr="002B79C1" w:rsidRDefault="00E31334" w:rsidP="00C6090F">
            <w:pPr>
              <w:spacing w:line="240" w:lineRule="auto"/>
              <w:rPr>
                <w:rFonts w:asciiTheme="minorHAnsi" w:hAnsiTheme="minorHAnsi" w:cstheme="minorHAnsi"/>
                <w:b/>
                <w:color w:val="000000"/>
                <w:sz w:val="18"/>
                <w:szCs w:val="18"/>
              </w:rPr>
            </w:pPr>
            <w:r w:rsidRPr="002B79C1">
              <w:rPr>
                <w:rFonts w:asciiTheme="minorHAnsi" w:hAnsiTheme="minorHAnsi" w:cstheme="minorHAnsi"/>
                <w:b/>
                <w:sz w:val="18"/>
                <w:szCs w:val="18"/>
                <w:lang w:eastAsia="de-DE"/>
              </w:rPr>
              <w:t>Automatic</w:t>
            </w:r>
            <w:r w:rsidR="005174D8" w:rsidRPr="002B79C1">
              <w:rPr>
                <w:rFonts w:asciiTheme="minorHAnsi" w:hAnsiTheme="minorHAnsi" w:cstheme="minorHAnsi"/>
                <w:b/>
                <w:sz w:val="18"/>
                <w:szCs w:val="18"/>
                <w:lang w:eastAsia="de-DE"/>
              </w:rPr>
              <w:br/>
            </w:r>
            <w:r w:rsidRPr="002B79C1">
              <w:rPr>
                <w:rFonts w:asciiTheme="minorHAnsi" w:hAnsiTheme="minorHAnsi" w:cstheme="minorHAnsi"/>
                <w:b/>
                <w:sz w:val="18"/>
                <w:szCs w:val="18"/>
                <w:lang w:eastAsia="de-DE"/>
              </w:rPr>
              <w:t>Transportation</w:t>
            </w:r>
          </w:p>
        </w:tc>
        <w:tc>
          <w:tcPr>
            <w:tcW w:w="6944" w:type="dxa"/>
            <w:tcBorders>
              <w:left w:val="nil"/>
              <w:right w:val="nil"/>
            </w:tcBorders>
            <w:vAlign w:val="center"/>
          </w:tcPr>
          <w:p w14:paraId="4793CD3A" w14:textId="0FFDD492" w:rsidR="00E31334" w:rsidRPr="002B79C1" w:rsidRDefault="00E31334" w:rsidP="00C605D4">
            <w:pPr>
              <w:spacing w:line="240" w:lineRule="auto"/>
              <w:ind w:left="284" w:hanging="284"/>
              <w:contextualSpacing/>
              <w:rPr>
                <w:rFonts w:asciiTheme="minorHAnsi" w:hAnsiTheme="minorHAnsi" w:cstheme="minorHAnsi"/>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automation of goods transportation</w:t>
            </w:r>
            <w:r w:rsidRPr="002B79C1">
              <w:rPr>
                <w:rFonts w:asciiTheme="minorHAnsi" w:hAnsiTheme="minorHAnsi" w:cstheme="minorHAnsi"/>
                <w:sz w:val="18"/>
                <w:szCs w:val="18"/>
              </w:rPr>
              <w:t xml:space="preserve"> (i.e., ground and air) within a company by independently navigating through or between facilities, selecting the optimal route under constantly changing conditions, and autonomously responding to the environment (e.g., workers, objects).</w:t>
            </w:r>
          </w:p>
        </w:tc>
      </w:tr>
      <w:tr w:rsidR="00C6090F" w:rsidRPr="002B79C1" w14:paraId="732BB2A7" w14:textId="77777777" w:rsidTr="007C57E6">
        <w:tc>
          <w:tcPr>
            <w:tcW w:w="283" w:type="dxa"/>
            <w:vMerge/>
            <w:tcBorders>
              <w:left w:val="nil"/>
              <w:bottom w:val="single" w:sz="4" w:space="0" w:color="auto"/>
              <w:right w:val="nil"/>
            </w:tcBorders>
            <w:tcMar>
              <w:top w:w="57" w:type="dxa"/>
              <w:bottom w:w="57" w:type="dxa"/>
            </w:tcMar>
            <w:vAlign w:val="center"/>
          </w:tcPr>
          <w:p w14:paraId="69576521"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58CF854B"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3326D0F9" w14:textId="35D651E3" w:rsidR="00C6090F" w:rsidRPr="002B79C1" w:rsidRDefault="00E31334" w:rsidP="00C6090F">
            <w:pPr>
              <w:spacing w:line="240" w:lineRule="auto"/>
              <w:jc w:val="both"/>
              <w:rPr>
                <w:rFonts w:asciiTheme="minorHAnsi" w:hAnsiTheme="minorHAnsi" w:cstheme="minorHAnsi"/>
                <w:color w:val="000000"/>
                <w:sz w:val="18"/>
                <w:szCs w:val="18"/>
              </w:rPr>
            </w:pPr>
            <w:r w:rsidRPr="002B79C1">
              <w:rPr>
                <w:rFonts w:asciiTheme="minorHAnsi" w:hAnsiTheme="minorHAnsi" w:cstheme="minorHAnsi"/>
                <w:color w:val="000000"/>
                <w:sz w:val="18"/>
                <w:szCs w:val="18"/>
              </w:rPr>
              <w:t xml:space="preserve">Arthur D. Little (2017), Bain &amp; Company (2018), Calatayud et al. (2019), Coelho et al. (2021), Coronado Mondragon et al. (2012), Chou et al. </w:t>
            </w:r>
            <w:r w:rsidRPr="002B79C1">
              <w:rPr>
                <w:rFonts w:asciiTheme="minorHAnsi" w:hAnsiTheme="minorHAnsi" w:cstheme="minorHAnsi"/>
                <w:color w:val="000000"/>
                <w:sz w:val="18"/>
                <w:szCs w:val="18"/>
                <w:lang w:val="de-DE"/>
              </w:rPr>
              <w:t xml:space="preserve">(2012), DHL and Detecon (2016), Fescioglu-Unver et al. (2015), Frank et al. (2019), Hahn (2020), Kousi et al. (2019), Kusiak (2018), C. Lee et al. </w:t>
            </w:r>
            <w:r w:rsidRPr="002B79C1">
              <w:rPr>
                <w:rFonts w:asciiTheme="minorHAnsi" w:hAnsiTheme="minorHAnsi" w:cstheme="minorHAnsi"/>
                <w:color w:val="000000"/>
                <w:sz w:val="18"/>
                <w:szCs w:val="18"/>
              </w:rPr>
              <w:t>(2018), Leofante et al. (2019), Miebach Consulting GmbH (2018), Nayernia et al. (2021), Núñez-Merino et al. (2020), Onal et al. (2017), Piccinini et al. (2013), PwC (2017), PwC (2019), PwC and Strategy&amp; (2016), Sanders and Ganeshan (2018), World Economic Forum and Accenture (2016), Zheng et al. (2021)</w:t>
            </w:r>
          </w:p>
        </w:tc>
      </w:tr>
      <w:tr w:rsidR="002173BD" w:rsidRPr="002B79C1" w14:paraId="14815653" w14:textId="77777777" w:rsidTr="007C57E6">
        <w:tc>
          <w:tcPr>
            <w:tcW w:w="283" w:type="dxa"/>
            <w:vMerge w:val="restart"/>
            <w:tcBorders>
              <w:top w:val="single" w:sz="4" w:space="0" w:color="auto"/>
              <w:left w:val="nil"/>
              <w:right w:val="nil"/>
            </w:tcBorders>
            <w:tcMar>
              <w:top w:w="57" w:type="dxa"/>
              <w:bottom w:w="57" w:type="dxa"/>
            </w:tcMar>
            <w:vAlign w:val="center"/>
          </w:tcPr>
          <w:p w14:paraId="05A51713" w14:textId="6BBF43EC" w:rsidR="002173BD" w:rsidRPr="002B79C1" w:rsidRDefault="002173BD" w:rsidP="00C6090F">
            <w:pPr>
              <w:spacing w:line="240" w:lineRule="auto"/>
              <w:rPr>
                <w:rFonts w:asciiTheme="minorHAnsi" w:hAnsiTheme="minorHAnsi" w:cstheme="minorHAnsi"/>
                <w:b/>
                <w:sz w:val="18"/>
                <w:szCs w:val="18"/>
                <w:lang w:eastAsia="de-DE"/>
              </w:rPr>
            </w:pPr>
            <w:r w:rsidRPr="002B79C1">
              <w:rPr>
                <w:rFonts w:asciiTheme="minorHAnsi" w:hAnsiTheme="minorHAnsi" w:cstheme="minorHAnsi"/>
                <w:b/>
                <w:sz w:val="18"/>
                <w:szCs w:val="18"/>
              </w:rPr>
              <w:t>24</w:t>
            </w:r>
          </w:p>
        </w:tc>
        <w:tc>
          <w:tcPr>
            <w:tcW w:w="1844" w:type="dxa"/>
            <w:vMerge w:val="restart"/>
            <w:tcBorders>
              <w:top w:val="single" w:sz="4" w:space="0" w:color="auto"/>
              <w:left w:val="nil"/>
              <w:right w:val="nil"/>
            </w:tcBorders>
            <w:vAlign w:val="center"/>
          </w:tcPr>
          <w:p w14:paraId="2972F850" w14:textId="77777777" w:rsidR="002173BD" w:rsidRPr="002B79C1" w:rsidRDefault="002173BD"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lang w:eastAsia="de-DE"/>
              </w:rPr>
              <w:t>Asset Visibility</w:t>
            </w:r>
          </w:p>
        </w:tc>
        <w:tc>
          <w:tcPr>
            <w:tcW w:w="6944" w:type="dxa"/>
            <w:tcBorders>
              <w:left w:val="nil"/>
              <w:right w:val="nil"/>
            </w:tcBorders>
            <w:vAlign w:val="center"/>
          </w:tcPr>
          <w:p w14:paraId="16675054" w14:textId="22D449C1" w:rsidR="002173BD" w:rsidRPr="002B79C1" w:rsidRDefault="002173BD" w:rsidP="00C605D4">
            <w:pPr>
              <w:spacing w:line="240" w:lineRule="auto"/>
              <w:ind w:left="284" w:hanging="284"/>
              <w:contextualSpacing/>
              <w:rPr>
                <w:rFonts w:asciiTheme="minorHAnsi" w:hAnsiTheme="minorHAnsi" w:cstheme="minorHAnsi"/>
                <w:color w:val="000000"/>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real-time visibility of assets</w:t>
            </w:r>
            <w:r w:rsidRPr="002B79C1">
              <w:rPr>
                <w:rFonts w:asciiTheme="minorHAnsi" w:hAnsiTheme="minorHAnsi" w:cstheme="minorHAnsi"/>
                <w:sz w:val="18"/>
                <w:szCs w:val="18"/>
              </w:rPr>
              <w:t xml:space="preserve"> by providing real-time information such as location, utilization, idle times, or asset conditions.</w:t>
            </w:r>
          </w:p>
        </w:tc>
      </w:tr>
      <w:tr w:rsidR="00C6090F" w:rsidRPr="002B79C1" w14:paraId="38DAB373" w14:textId="77777777" w:rsidTr="007C57E6">
        <w:tc>
          <w:tcPr>
            <w:tcW w:w="283" w:type="dxa"/>
            <w:vMerge/>
            <w:tcBorders>
              <w:left w:val="nil"/>
              <w:bottom w:val="single" w:sz="4" w:space="0" w:color="auto"/>
              <w:right w:val="nil"/>
            </w:tcBorders>
            <w:tcMar>
              <w:top w:w="57" w:type="dxa"/>
              <w:bottom w:w="57" w:type="dxa"/>
            </w:tcMar>
            <w:vAlign w:val="center"/>
          </w:tcPr>
          <w:p w14:paraId="1AD6FECD"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44F9BA1E"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4D89C1C0" w14:textId="47E328C2" w:rsidR="00C6090F" w:rsidRPr="002B79C1" w:rsidRDefault="002173BD"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Capgemini Consulting (2011), IBM and Celonis (2022), Morenza-Cinos et al. (2019), Nabelsi and Gagnon (2017), PwC (2020), Rejeb et al. (2021), Zheng et al. (2021)</w:t>
            </w:r>
          </w:p>
        </w:tc>
      </w:tr>
    </w:tbl>
    <w:p w14:paraId="4987FB2B" w14:textId="77777777" w:rsidR="00B41149" w:rsidRDefault="00B41149">
      <w:r>
        <w:br w:type="page"/>
      </w:r>
    </w:p>
    <w:tbl>
      <w:tblPr>
        <w:tblStyle w:val="TableGrid"/>
        <w:tblW w:w="9071" w:type="dxa"/>
        <w:tblCellMar>
          <w:top w:w="23" w:type="dxa"/>
          <w:left w:w="28" w:type="dxa"/>
          <w:bottom w:w="23" w:type="dxa"/>
          <w:right w:w="57" w:type="dxa"/>
        </w:tblCellMar>
        <w:tblLook w:val="04A0" w:firstRow="1" w:lastRow="0" w:firstColumn="1" w:lastColumn="0" w:noHBand="0" w:noVBand="1"/>
      </w:tblPr>
      <w:tblGrid>
        <w:gridCol w:w="283"/>
        <w:gridCol w:w="1844"/>
        <w:gridCol w:w="6944"/>
      </w:tblGrid>
      <w:tr w:rsidR="002173BD" w:rsidRPr="002B79C1" w14:paraId="459E2836" w14:textId="77777777" w:rsidTr="007C57E6">
        <w:tc>
          <w:tcPr>
            <w:tcW w:w="283" w:type="dxa"/>
            <w:vMerge w:val="restart"/>
            <w:tcBorders>
              <w:top w:val="single" w:sz="4" w:space="0" w:color="auto"/>
              <w:left w:val="nil"/>
              <w:right w:val="nil"/>
            </w:tcBorders>
            <w:tcMar>
              <w:top w:w="57" w:type="dxa"/>
              <w:bottom w:w="57" w:type="dxa"/>
            </w:tcMar>
            <w:vAlign w:val="center"/>
          </w:tcPr>
          <w:p w14:paraId="6DDC76A9" w14:textId="75DA0F40" w:rsidR="002173BD" w:rsidRPr="002B79C1" w:rsidRDefault="002173BD"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lastRenderedPageBreak/>
              <w:t>25</w:t>
            </w:r>
          </w:p>
          <w:p w14:paraId="3DC113A0" w14:textId="77777777" w:rsidR="002173BD" w:rsidRPr="002B79C1" w:rsidRDefault="002173BD" w:rsidP="00C6090F">
            <w:pPr>
              <w:spacing w:line="240" w:lineRule="auto"/>
              <w:rPr>
                <w:rFonts w:asciiTheme="minorHAnsi" w:hAnsiTheme="minorHAnsi" w:cstheme="minorHAnsi"/>
                <w:b/>
                <w:sz w:val="18"/>
                <w:szCs w:val="18"/>
                <w:lang w:eastAsia="de-DE"/>
              </w:rPr>
            </w:pPr>
          </w:p>
        </w:tc>
        <w:tc>
          <w:tcPr>
            <w:tcW w:w="1844" w:type="dxa"/>
            <w:vMerge w:val="restart"/>
            <w:tcBorders>
              <w:top w:val="single" w:sz="4" w:space="0" w:color="auto"/>
              <w:left w:val="nil"/>
              <w:right w:val="nil"/>
            </w:tcBorders>
            <w:vAlign w:val="center"/>
          </w:tcPr>
          <w:p w14:paraId="331AC00F" w14:textId="39B54CD4" w:rsidR="002173BD" w:rsidRPr="002B79C1" w:rsidRDefault="002173BD"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lang w:eastAsia="de-DE"/>
              </w:rPr>
              <w:t>Automatic</w:t>
            </w:r>
            <w:r w:rsidR="005174D8" w:rsidRPr="002B79C1">
              <w:rPr>
                <w:rFonts w:asciiTheme="minorHAnsi" w:hAnsiTheme="minorHAnsi" w:cstheme="minorHAnsi"/>
                <w:b/>
                <w:sz w:val="18"/>
                <w:szCs w:val="18"/>
                <w:lang w:eastAsia="de-DE"/>
              </w:rPr>
              <w:br/>
            </w:r>
            <w:r w:rsidRPr="002B79C1">
              <w:rPr>
                <w:rFonts w:asciiTheme="minorHAnsi" w:hAnsiTheme="minorHAnsi" w:cstheme="minorHAnsi"/>
                <w:b/>
                <w:sz w:val="18"/>
                <w:szCs w:val="18"/>
                <w:lang w:eastAsia="de-DE"/>
              </w:rPr>
              <w:t>Goods Tracking</w:t>
            </w:r>
          </w:p>
        </w:tc>
        <w:tc>
          <w:tcPr>
            <w:tcW w:w="6944" w:type="dxa"/>
            <w:tcBorders>
              <w:left w:val="nil"/>
              <w:right w:val="nil"/>
            </w:tcBorders>
            <w:vAlign w:val="center"/>
          </w:tcPr>
          <w:p w14:paraId="4DD6D45F" w14:textId="42AF4970" w:rsidR="002173BD" w:rsidRPr="002B79C1" w:rsidRDefault="002173BD" w:rsidP="00C605D4">
            <w:pPr>
              <w:spacing w:line="240" w:lineRule="auto"/>
              <w:ind w:left="284" w:hanging="284"/>
              <w:contextualSpacing/>
              <w:rPr>
                <w:rFonts w:asciiTheme="minorHAnsi" w:hAnsiTheme="minorHAnsi" w:cstheme="minorHAnsi"/>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automation of tracking of the location and movement of goods</w:t>
            </w:r>
            <w:r w:rsidRPr="002B79C1">
              <w:rPr>
                <w:rFonts w:asciiTheme="minorHAnsi" w:hAnsiTheme="minorHAnsi" w:cstheme="minorHAnsi"/>
                <w:sz w:val="18"/>
                <w:szCs w:val="18"/>
              </w:rPr>
              <w:t xml:space="preserve"> within facilities by providing real-time data on physical movements, identifying logistics objects continuously, and retrieving movement documents for later analysis.</w:t>
            </w:r>
          </w:p>
        </w:tc>
      </w:tr>
      <w:tr w:rsidR="00C6090F" w:rsidRPr="002B79C1" w14:paraId="64E3A067" w14:textId="77777777" w:rsidTr="007C57E6">
        <w:tc>
          <w:tcPr>
            <w:tcW w:w="283" w:type="dxa"/>
            <w:vMerge/>
            <w:tcBorders>
              <w:left w:val="nil"/>
              <w:bottom w:val="single" w:sz="4" w:space="0" w:color="auto"/>
              <w:right w:val="nil"/>
            </w:tcBorders>
            <w:tcMar>
              <w:top w:w="57" w:type="dxa"/>
              <w:bottom w:w="57" w:type="dxa"/>
            </w:tcMar>
            <w:vAlign w:val="center"/>
          </w:tcPr>
          <w:p w14:paraId="27418E37"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18F99027"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7BF4440D" w14:textId="22F14903" w:rsidR="00C6090F" w:rsidRPr="002B79C1" w:rsidRDefault="002173BD"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 xml:space="preserve">Bowles and Lu (2014), Capgemini Consulting (2011), Coronado Mondragon et al. (2017), Dai et al. (2016), DHL and Cisco (2015), DHL and Detecon (2016), Kembro et al. (2017), C. Lee et al. (2018), Meindl et al. (2021), Miebach Consulting GmbH (2018), Morenza-Cinos et al. (2019), Nabelsi and Gagnon (2017), Núñez-Merino et al. (2020), Oliveira-Dias et al. (2022), PwC (2019), PwC and Strategy&amp; (2016), Shao et al. </w:t>
            </w:r>
            <w:r w:rsidRPr="002B79C1">
              <w:rPr>
                <w:rFonts w:asciiTheme="minorHAnsi" w:hAnsiTheme="minorHAnsi" w:cstheme="minorHAnsi"/>
                <w:color w:val="000000"/>
                <w:sz w:val="18"/>
                <w:szCs w:val="18"/>
                <w:lang w:val="de-DE"/>
              </w:rPr>
              <w:t xml:space="preserve">(2021), Shu and Barton (2012), Tran-Dang et al. (2017), Wu et al. (2011), Yang et al. (2021), Zhang et al. (2016), Zheng et al. </w:t>
            </w:r>
            <w:r w:rsidRPr="002B79C1">
              <w:rPr>
                <w:rFonts w:asciiTheme="minorHAnsi" w:hAnsiTheme="minorHAnsi" w:cstheme="minorHAnsi"/>
                <w:color w:val="000000"/>
                <w:sz w:val="18"/>
                <w:szCs w:val="18"/>
              </w:rPr>
              <w:t>(2021), Zhong et al. (2015)</w:t>
            </w:r>
          </w:p>
        </w:tc>
      </w:tr>
      <w:tr w:rsidR="002173BD" w:rsidRPr="002B79C1" w14:paraId="486D979C" w14:textId="77777777" w:rsidTr="007C57E6">
        <w:tc>
          <w:tcPr>
            <w:tcW w:w="283" w:type="dxa"/>
            <w:vMerge w:val="restart"/>
            <w:tcBorders>
              <w:top w:val="single" w:sz="4" w:space="0" w:color="auto"/>
              <w:left w:val="nil"/>
              <w:right w:val="nil"/>
            </w:tcBorders>
            <w:tcMar>
              <w:top w:w="57" w:type="dxa"/>
              <w:bottom w:w="57" w:type="dxa"/>
            </w:tcMar>
            <w:vAlign w:val="center"/>
          </w:tcPr>
          <w:p w14:paraId="5474354F" w14:textId="085D66B1" w:rsidR="002173BD" w:rsidRPr="002B79C1" w:rsidRDefault="002173BD" w:rsidP="00C6090F">
            <w:pPr>
              <w:spacing w:line="240" w:lineRule="auto"/>
              <w:rPr>
                <w:rFonts w:asciiTheme="minorHAnsi" w:hAnsiTheme="minorHAnsi" w:cstheme="minorHAnsi"/>
                <w:b/>
                <w:sz w:val="18"/>
                <w:szCs w:val="18"/>
                <w:lang w:eastAsia="de-DE"/>
              </w:rPr>
            </w:pPr>
            <w:r w:rsidRPr="002B79C1">
              <w:rPr>
                <w:rFonts w:asciiTheme="minorHAnsi" w:hAnsiTheme="minorHAnsi" w:cstheme="minorHAnsi"/>
                <w:b/>
                <w:sz w:val="18"/>
                <w:szCs w:val="18"/>
              </w:rPr>
              <w:t>26</w:t>
            </w:r>
          </w:p>
        </w:tc>
        <w:tc>
          <w:tcPr>
            <w:tcW w:w="1844" w:type="dxa"/>
            <w:vMerge w:val="restart"/>
            <w:tcBorders>
              <w:top w:val="single" w:sz="4" w:space="0" w:color="auto"/>
              <w:left w:val="nil"/>
              <w:right w:val="nil"/>
            </w:tcBorders>
            <w:vAlign w:val="center"/>
          </w:tcPr>
          <w:p w14:paraId="092E04E0" w14:textId="77777777" w:rsidR="002173BD" w:rsidRPr="002B79C1" w:rsidRDefault="002173BD" w:rsidP="00C6090F">
            <w:pPr>
              <w:spacing w:line="240" w:lineRule="auto"/>
              <w:rPr>
                <w:rFonts w:asciiTheme="minorHAnsi" w:hAnsiTheme="minorHAnsi" w:cstheme="minorHAnsi"/>
                <w:b/>
                <w:color w:val="000000"/>
                <w:sz w:val="18"/>
                <w:szCs w:val="18"/>
              </w:rPr>
            </w:pPr>
            <w:r w:rsidRPr="002B79C1">
              <w:rPr>
                <w:rFonts w:asciiTheme="minorHAnsi" w:hAnsiTheme="minorHAnsi" w:cstheme="minorHAnsi"/>
                <w:b/>
                <w:sz w:val="18"/>
                <w:szCs w:val="18"/>
                <w:lang w:eastAsia="de-DE"/>
              </w:rPr>
              <w:t>Goods Visibility</w:t>
            </w:r>
          </w:p>
        </w:tc>
        <w:tc>
          <w:tcPr>
            <w:tcW w:w="6944" w:type="dxa"/>
            <w:tcBorders>
              <w:left w:val="nil"/>
              <w:right w:val="nil"/>
            </w:tcBorders>
            <w:vAlign w:val="center"/>
          </w:tcPr>
          <w:p w14:paraId="0126CC05" w14:textId="67906E8A" w:rsidR="002173BD" w:rsidRPr="002B79C1" w:rsidRDefault="002173BD" w:rsidP="00C605D4">
            <w:pPr>
              <w:spacing w:line="240" w:lineRule="auto"/>
              <w:ind w:left="284" w:hanging="284"/>
              <w:contextualSpacing/>
              <w:rPr>
                <w:rFonts w:asciiTheme="minorHAnsi" w:hAnsiTheme="minorHAnsi" w:cstheme="minorHAnsi"/>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real-time visibility of goods</w:t>
            </w:r>
            <w:r w:rsidRPr="002B79C1">
              <w:rPr>
                <w:rFonts w:asciiTheme="minorHAnsi" w:hAnsiTheme="minorHAnsi" w:cstheme="minorHAnsi"/>
                <w:sz w:val="18"/>
                <w:szCs w:val="18"/>
              </w:rPr>
              <w:t xml:space="preserve"> along the (internal) supply chain by exchanging accurate and timely information (e.g., transit milestones, shipping status, event recording) across all business units and functions.</w:t>
            </w:r>
          </w:p>
        </w:tc>
      </w:tr>
      <w:tr w:rsidR="00C6090F" w:rsidRPr="002B79C1" w14:paraId="6C2CE4D1" w14:textId="77777777" w:rsidTr="007C57E6">
        <w:tc>
          <w:tcPr>
            <w:tcW w:w="283" w:type="dxa"/>
            <w:vMerge/>
            <w:tcBorders>
              <w:left w:val="nil"/>
              <w:bottom w:val="single" w:sz="4" w:space="0" w:color="auto"/>
              <w:right w:val="nil"/>
            </w:tcBorders>
            <w:tcMar>
              <w:top w:w="57" w:type="dxa"/>
              <w:bottom w:w="57" w:type="dxa"/>
            </w:tcMar>
            <w:vAlign w:val="center"/>
          </w:tcPr>
          <w:p w14:paraId="7A08CD8D"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3EC297F4"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69E75ECE" w14:textId="553137B3" w:rsidR="00C6090F" w:rsidRPr="002B79C1" w:rsidRDefault="002173BD"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Calatayud et al. (2019), Capgemini Consulting (2011), Cole et al. (2019), DHL and Cisco (2015), Fosso Wamba and Chatfield (2011), Fescioglu-Unver et al. (2015), Han et al. (2017), IBM and Celonis (2022), Kochan et al. (2018), Morenza-Cinos et al. (2019), Oliveira and Handfield (2019), PwC (2019), PwC (2020), Rejeb et al. (2021), Saberi et al. (2019), Y. Wang et al. (2019), World Economic Forum and Accenture (2016), Yang et al. (2021), Zheng et al. (2021)</w:t>
            </w:r>
          </w:p>
        </w:tc>
      </w:tr>
      <w:tr w:rsidR="002173BD" w:rsidRPr="002B79C1" w14:paraId="4D09FF2C" w14:textId="77777777" w:rsidTr="007C57E6">
        <w:tc>
          <w:tcPr>
            <w:tcW w:w="283" w:type="dxa"/>
            <w:vMerge w:val="restart"/>
            <w:tcBorders>
              <w:top w:val="single" w:sz="4" w:space="0" w:color="auto"/>
              <w:left w:val="nil"/>
              <w:right w:val="nil"/>
            </w:tcBorders>
            <w:tcMar>
              <w:top w:w="57" w:type="dxa"/>
              <w:bottom w:w="57" w:type="dxa"/>
            </w:tcMar>
            <w:vAlign w:val="center"/>
          </w:tcPr>
          <w:p w14:paraId="47216317" w14:textId="70D11B46" w:rsidR="002173BD" w:rsidRPr="002B79C1" w:rsidRDefault="002173BD" w:rsidP="00C6090F">
            <w:pPr>
              <w:spacing w:line="240" w:lineRule="auto"/>
              <w:rPr>
                <w:rFonts w:asciiTheme="minorHAnsi" w:hAnsiTheme="minorHAnsi" w:cstheme="minorHAnsi"/>
                <w:b/>
                <w:sz w:val="18"/>
                <w:szCs w:val="18"/>
                <w:lang w:eastAsia="de-DE"/>
              </w:rPr>
            </w:pPr>
            <w:r w:rsidRPr="002B79C1">
              <w:rPr>
                <w:rFonts w:asciiTheme="minorHAnsi" w:hAnsiTheme="minorHAnsi" w:cstheme="minorHAnsi"/>
                <w:b/>
                <w:sz w:val="18"/>
                <w:szCs w:val="18"/>
              </w:rPr>
              <w:t>27</w:t>
            </w:r>
          </w:p>
        </w:tc>
        <w:tc>
          <w:tcPr>
            <w:tcW w:w="1844" w:type="dxa"/>
            <w:vMerge w:val="restart"/>
            <w:tcBorders>
              <w:top w:val="single" w:sz="4" w:space="0" w:color="auto"/>
              <w:left w:val="nil"/>
              <w:right w:val="nil"/>
            </w:tcBorders>
            <w:vAlign w:val="center"/>
          </w:tcPr>
          <w:p w14:paraId="66E332C8" w14:textId="77777777" w:rsidR="002173BD" w:rsidRPr="002B79C1" w:rsidRDefault="002173BD"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lang w:eastAsia="de-DE"/>
              </w:rPr>
              <w:t>Inventory Control</w:t>
            </w:r>
          </w:p>
        </w:tc>
        <w:tc>
          <w:tcPr>
            <w:tcW w:w="6944" w:type="dxa"/>
            <w:tcBorders>
              <w:left w:val="nil"/>
              <w:right w:val="nil"/>
            </w:tcBorders>
            <w:vAlign w:val="center"/>
          </w:tcPr>
          <w:p w14:paraId="2CF1A314" w14:textId="0EFE7927" w:rsidR="002173BD" w:rsidRPr="002B79C1" w:rsidRDefault="002173BD" w:rsidP="00C605D4">
            <w:pPr>
              <w:spacing w:line="240" w:lineRule="auto"/>
              <w:ind w:left="284" w:hanging="284"/>
              <w:contextualSpacing/>
              <w:rPr>
                <w:rFonts w:asciiTheme="minorHAnsi" w:hAnsiTheme="minorHAnsi" w:cstheme="minorHAnsi"/>
                <w:color w:val="000000"/>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real-time inventory control</w:t>
            </w:r>
            <w:r w:rsidRPr="002B79C1">
              <w:rPr>
                <w:rFonts w:asciiTheme="minorHAnsi" w:hAnsiTheme="minorHAnsi" w:cstheme="minorHAnsi"/>
                <w:sz w:val="18"/>
                <w:szCs w:val="18"/>
              </w:rPr>
              <w:t xml:space="preserve"> of goods by automatic ad hoc stock searches and queries to ensure that the digitally recorded inventory permanently matches the physically present inventory (i.e., data synchronization).</w:t>
            </w:r>
          </w:p>
        </w:tc>
      </w:tr>
      <w:tr w:rsidR="00C6090F" w:rsidRPr="002B79C1" w14:paraId="77454290" w14:textId="77777777" w:rsidTr="007C57E6">
        <w:tc>
          <w:tcPr>
            <w:tcW w:w="283" w:type="dxa"/>
            <w:vMerge/>
            <w:tcBorders>
              <w:left w:val="nil"/>
              <w:bottom w:val="single" w:sz="4" w:space="0" w:color="auto"/>
              <w:right w:val="nil"/>
            </w:tcBorders>
            <w:tcMar>
              <w:top w:w="57" w:type="dxa"/>
              <w:bottom w:w="57" w:type="dxa"/>
            </w:tcMar>
            <w:vAlign w:val="center"/>
          </w:tcPr>
          <w:p w14:paraId="6DC4957E"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29A7E3CF"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007DDAF3" w14:textId="7239AB09" w:rsidR="00C6090F" w:rsidRPr="002B79C1" w:rsidRDefault="002173BD"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Dai et al. (2016), DHL and Cisco (2015), DHL and Detecon (2016), Dolgui and Ivanov (2022), Fosso Wamba and Chatfield (2011), Fescioglu-Unver et al. (2015), Frank et al. (2019), He et al. (2018), IBM and Celonis (2022), Ivanov et al. (2019), Kache and Seuring (2017), Kembro et al. (2017), C. Lee et al. (2018), Margherita and Braccini (2020), Morenza-Cinos et al. (2019), Núñez-Merino et al. (2020), Oliveira-Dias et al. (2022), PwC (2020), Rejeb et al. (2021), Wu et al. (2011), Yang et al. (2021), Zheng et al. (2021)</w:t>
            </w:r>
          </w:p>
        </w:tc>
      </w:tr>
      <w:tr w:rsidR="002173BD" w:rsidRPr="002B79C1" w14:paraId="69FDCC7A" w14:textId="77777777" w:rsidTr="007C57E6">
        <w:tc>
          <w:tcPr>
            <w:tcW w:w="283" w:type="dxa"/>
            <w:vMerge w:val="restart"/>
            <w:tcBorders>
              <w:top w:val="single" w:sz="4" w:space="0" w:color="auto"/>
              <w:left w:val="nil"/>
              <w:right w:val="nil"/>
            </w:tcBorders>
            <w:tcMar>
              <w:top w:w="57" w:type="dxa"/>
              <w:bottom w:w="57" w:type="dxa"/>
            </w:tcMar>
            <w:vAlign w:val="center"/>
          </w:tcPr>
          <w:p w14:paraId="719AA5C8" w14:textId="4CA17A18" w:rsidR="002173BD" w:rsidRPr="002B79C1" w:rsidRDefault="002173BD"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28</w:t>
            </w:r>
          </w:p>
          <w:p w14:paraId="54D6D64D" w14:textId="77777777" w:rsidR="002173BD" w:rsidRPr="002B79C1" w:rsidRDefault="002173BD" w:rsidP="00C6090F">
            <w:pPr>
              <w:spacing w:line="240" w:lineRule="auto"/>
              <w:rPr>
                <w:rFonts w:asciiTheme="minorHAnsi" w:hAnsiTheme="minorHAnsi" w:cstheme="minorHAnsi"/>
                <w:b/>
                <w:sz w:val="18"/>
                <w:szCs w:val="18"/>
                <w:lang w:eastAsia="de-DE"/>
              </w:rPr>
            </w:pPr>
          </w:p>
        </w:tc>
        <w:tc>
          <w:tcPr>
            <w:tcW w:w="1844" w:type="dxa"/>
            <w:vMerge w:val="restart"/>
            <w:tcBorders>
              <w:top w:val="single" w:sz="4" w:space="0" w:color="auto"/>
              <w:left w:val="nil"/>
              <w:right w:val="nil"/>
            </w:tcBorders>
            <w:vAlign w:val="center"/>
          </w:tcPr>
          <w:p w14:paraId="50E8307F" w14:textId="72D09D52" w:rsidR="002173BD" w:rsidRPr="002B79C1" w:rsidRDefault="002173BD"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lang w:eastAsia="de-DE"/>
              </w:rPr>
              <w:t>Ambient Condition</w:t>
            </w:r>
            <w:r w:rsidR="005174D8" w:rsidRPr="002B79C1">
              <w:rPr>
                <w:rFonts w:asciiTheme="minorHAnsi" w:hAnsiTheme="minorHAnsi" w:cstheme="minorHAnsi"/>
                <w:b/>
                <w:sz w:val="18"/>
                <w:szCs w:val="18"/>
                <w:lang w:eastAsia="de-DE"/>
              </w:rPr>
              <w:br/>
            </w:r>
            <w:r w:rsidRPr="002B79C1">
              <w:rPr>
                <w:rFonts w:asciiTheme="minorHAnsi" w:hAnsiTheme="minorHAnsi" w:cstheme="minorHAnsi"/>
                <w:b/>
                <w:sz w:val="18"/>
                <w:szCs w:val="18"/>
                <w:lang w:eastAsia="de-DE"/>
              </w:rPr>
              <w:t>Monitoring</w:t>
            </w:r>
          </w:p>
        </w:tc>
        <w:tc>
          <w:tcPr>
            <w:tcW w:w="6944" w:type="dxa"/>
            <w:tcBorders>
              <w:left w:val="nil"/>
              <w:right w:val="nil"/>
            </w:tcBorders>
            <w:vAlign w:val="center"/>
          </w:tcPr>
          <w:p w14:paraId="7526BBC1" w14:textId="206FE3CD" w:rsidR="002173BD" w:rsidRPr="002B79C1" w:rsidRDefault="002173BD" w:rsidP="00C605D4">
            <w:pPr>
              <w:spacing w:line="240" w:lineRule="auto"/>
              <w:ind w:left="284" w:hanging="284"/>
              <w:contextualSpacing/>
              <w:rPr>
                <w:rFonts w:asciiTheme="minorHAnsi" w:hAnsiTheme="minorHAnsi" w:cstheme="minorHAnsi"/>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monitoring of correct environmental conditions</w:t>
            </w:r>
            <w:r w:rsidRPr="002B79C1">
              <w:rPr>
                <w:rFonts w:asciiTheme="minorHAnsi" w:hAnsiTheme="minorHAnsi" w:cstheme="minorHAnsi"/>
                <w:sz w:val="18"/>
                <w:szCs w:val="18"/>
              </w:rPr>
              <w:t xml:space="preserve"> (e.g., temperature, humidity, gas concentration, and lighting) to maintain goods quality by autonomously recording and transmitting environmental changes in storage and distribution processes.</w:t>
            </w:r>
          </w:p>
        </w:tc>
      </w:tr>
      <w:tr w:rsidR="00C6090F" w:rsidRPr="002B79C1" w14:paraId="49AD5066" w14:textId="77777777" w:rsidTr="007C57E6">
        <w:tc>
          <w:tcPr>
            <w:tcW w:w="283" w:type="dxa"/>
            <w:vMerge/>
            <w:tcBorders>
              <w:left w:val="nil"/>
              <w:bottom w:val="single" w:sz="4" w:space="0" w:color="auto"/>
              <w:right w:val="nil"/>
            </w:tcBorders>
            <w:tcMar>
              <w:top w:w="57" w:type="dxa"/>
              <w:bottom w:w="57" w:type="dxa"/>
            </w:tcMar>
            <w:vAlign w:val="center"/>
          </w:tcPr>
          <w:p w14:paraId="1AE0C660"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3C2715BC"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4FA3602C" w14:textId="0D05F858" w:rsidR="00C6090F" w:rsidRPr="002B79C1" w:rsidRDefault="002173BD"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Bogataj et al. (2017), Bowles and Lu (2014), DHL and Cisco (2015), DHL and Detecon (2016), Kembro et al. (2017)</w:t>
            </w:r>
          </w:p>
        </w:tc>
      </w:tr>
      <w:tr w:rsidR="002173BD" w:rsidRPr="002B79C1" w14:paraId="70E62B6D" w14:textId="77777777" w:rsidTr="007C57E6">
        <w:tc>
          <w:tcPr>
            <w:tcW w:w="283" w:type="dxa"/>
            <w:vMerge w:val="restart"/>
            <w:tcBorders>
              <w:top w:val="single" w:sz="4" w:space="0" w:color="auto"/>
              <w:left w:val="nil"/>
              <w:right w:val="nil"/>
            </w:tcBorders>
            <w:tcMar>
              <w:top w:w="57" w:type="dxa"/>
              <w:bottom w:w="57" w:type="dxa"/>
            </w:tcMar>
            <w:vAlign w:val="center"/>
          </w:tcPr>
          <w:p w14:paraId="650C85FD" w14:textId="7148C7E7" w:rsidR="002173BD" w:rsidRPr="002B79C1" w:rsidRDefault="002173BD" w:rsidP="00C6090F">
            <w:pPr>
              <w:spacing w:line="240" w:lineRule="auto"/>
              <w:rPr>
                <w:rFonts w:asciiTheme="minorHAnsi" w:hAnsiTheme="minorHAnsi" w:cstheme="minorHAnsi"/>
                <w:b/>
                <w:sz w:val="18"/>
                <w:szCs w:val="18"/>
                <w:lang w:eastAsia="de-DE"/>
              </w:rPr>
            </w:pPr>
            <w:r w:rsidRPr="002B79C1">
              <w:rPr>
                <w:rFonts w:asciiTheme="minorHAnsi" w:hAnsiTheme="minorHAnsi" w:cstheme="minorHAnsi"/>
                <w:b/>
                <w:sz w:val="18"/>
                <w:szCs w:val="18"/>
              </w:rPr>
              <w:t>29</w:t>
            </w:r>
          </w:p>
          <w:p w14:paraId="2C7D2DED" w14:textId="77777777" w:rsidR="002173BD" w:rsidRPr="002B79C1" w:rsidRDefault="002173BD" w:rsidP="00C6090F">
            <w:pPr>
              <w:spacing w:line="240" w:lineRule="auto"/>
              <w:rPr>
                <w:rFonts w:asciiTheme="minorHAnsi" w:hAnsiTheme="minorHAnsi" w:cstheme="minorHAnsi"/>
                <w:b/>
                <w:sz w:val="18"/>
                <w:szCs w:val="18"/>
                <w:lang w:eastAsia="de-DE"/>
              </w:rPr>
            </w:pPr>
          </w:p>
        </w:tc>
        <w:tc>
          <w:tcPr>
            <w:tcW w:w="1844" w:type="dxa"/>
            <w:vMerge w:val="restart"/>
            <w:tcBorders>
              <w:top w:val="single" w:sz="4" w:space="0" w:color="auto"/>
              <w:left w:val="nil"/>
              <w:right w:val="nil"/>
            </w:tcBorders>
            <w:vAlign w:val="center"/>
          </w:tcPr>
          <w:p w14:paraId="5957AFF8" w14:textId="7CD65B17" w:rsidR="002173BD" w:rsidRPr="002B79C1" w:rsidRDefault="002173BD"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lang w:eastAsia="de-DE"/>
              </w:rPr>
              <w:t>Goods Condition</w:t>
            </w:r>
            <w:r w:rsidR="005174D8" w:rsidRPr="002B79C1">
              <w:rPr>
                <w:rFonts w:asciiTheme="minorHAnsi" w:hAnsiTheme="minorHAnsi" w:cstheme="minorHAnsi"/>
                <w:b/>
                <w:sz w:val="18"/>
                <w:szCs w:val="18"/>
                <w:lang w:eastAsia="de-DE"/>
              </w:rPr>
              <w:br/>
            </w:r>
            <w:r w:rsidRPr="002B79C1">
              <w:rPr>
                <w:rFonts w:asciiTheme="minorHAnsi" w:hAnsiTheme="minorHAnsi" w:cstheme="minorHAnsi"/>
                <w:b/>
                <w:sz w:val="18"/>
                <w:szCs w:val="18"/>
                <w:lang w:eastAsia="de-DE"/>
              </w:rPr>
              <w:t>Monitoring</w:t>
            </w:r>
          </w:p>
        </w:tc>
        <w:tc>
          <w:tcPr>
            <w:tcW w:w="6944" w:type="dxa"/>
            <w:tcBorders>
              <w:left w:val="nil"/>
              <w:right w:val="nil"/>
            </w:tcBorders>
            <w:vAlign w:val="center"/>
          </w:tcPr>
          <w:p w14:paraId="5B3DE77A" w14:textId="79BE0F76" w:rsidR="002173BD" w:rsidRPr="002B79C1" w:rsidRDefault="002173BD" w:rsidP="00C605D4">
            <w:pPr>
              <w:spacing w:line="240" w:lineRule="auto"/>
              <w:ind w:left="284" w:hanging="284"/>
              <w:contextualSpacing/>
              <w:rPr>
                <w:rFonts w:asciiTheme="minorHAnsi" w:hAnsiTheme="minorHAnsi" w:cstheme="minorHAnsi"/>
                <w:color w:val="000000"/>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monitoring of the proper handling of goods</w:t>
            </w:r>
            <w:r w:rsidRPr="002B79C1">
              <w:rPr>
                <w:rFonts w:asciiTheme="minorHAnsi" w:hAnsiTheme="minorHAnsi" w:cstheme="minorHAnsi"/>
                <w:sz w:val="18"/>
                <w:szCs w:val="18"/>
              </w:rPr>
              <w:t xml:space="preserve"> by calculating and measuring external forces (e.g., up and down movements, changes, displacements, accelerations, pressure from or to goods) and autonomously recording and transmitting this data.</w:t>
            </w:r>
          </w:p>
        </w:tc>
      </w:tr>
      <w:tr w:rsidR="00C6090F" w:rsidRPr="002B79C1" w14:paraId="47A1B3DF" w14:textId="77777777" w:rsidTr="007C57E6">
        <w:tc>
          <w:tcPr>
            <w:tcW w:w="283" w:type="dxa"/>
            <w:vMerge/>
            <w:tcBorders>
              <w:left w:val="nil"/>
              <w:bottom w:val="single" w:sz="4" w:space="0" w:color="auto"/>
              <w:right w:val="nil"/>
            </w:tcBorders>
            <w:tcMar>
              <w:top w:w="57" w:type="dxa"/>
              <w:bottom w:w="57" w:type="dxa"/>
            </w:tcMar>
            <w:vAlign w:val="center"/>
          </w:tcPr>
          <w:p w14:paraId="2BBAB220"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345032FE"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1FD19DDC" w14:textId="7A0B76E0" w:rsidR="00C6090F" w:rsidRPr="002B79C1" w:rsidRDefault="002173BD"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Bowles and Lu (2014), DHL and Cisco (2015), DHL and Detecon (2016)</w:t>
            </w:r>
          </w:p>
        </w:tc>
      </w:tr>
      <w:tr w:rsidR="002173BD" w:rsidRPr="002B79C1" w14:paraId="45D6622B" w14:textId="77777777" w:rsidTr="007C57E6">
        <w:tc>
          <w:tcPr>
            <w:tcW w:w="283" w:type="dxa"/>
            <w:vMerge w:val="restart"/>
            <w:tcBorders>
              <w:top w:val="single" w:sz="4" w:space="0" w:color="auto"/>
              <w:left w:val="nil"/>
              <w:right w:val="nil"/>
            </w:tcBorders>
            <w:tcMar>
              <w:top w:w="57" w:type="dxa"/>
              <w:bottom w:w="57" w:type="dxa"/>
            </w:tcMar>
            <w:vAlign w:val="center"/>
          </w:tcPr>
          <w:p w14:paraId="56D6CFBD" w14:textId="77777777" w:rsidR="002173BD" w:rsidRDefault="002173BD"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30</w:t>
            </w:r>
          </w:p>
          <w:p w14:paraId="77E2430A" w14:textId="263B952E" w:rsidR="002173BD" w:rsidRPr="002B79C1" w:rsidRDefault="002173BD" w:rsidP="00C6090F">
            <w:pPr>
              <w:spacing w:line="240" w:lineRule="auto"/>
              <w:rPr>
                <w:rFonts w:asciiTheme="minorHAnsi" w:hAnsiTheme="minorHAnsi" w:cstheme="minorHAnsi"/>
                <w:b/>
                <w:sz w:val="18"/>
                <w:szCs w:val="18"/>
              </w:rPr>
            </w:pPr>
          </w:p>
        </w:tc>
        <w:tc>
          <w:tcPr>
            <w:tcW w:w="1844" w:type="dxa"/>
            <w:vMerge w:val="restart"/>
            <w:tcBorders>
              <w:top w:val="single" w:sz="4" w:space="0" w:color="auto"/>
              <w:left w:val="nil"/>
              <w:right w:val="nil"/>
            </w:tcBorders>
            <w:vAlign w:val="center"/>
          </w:tcPr>
          <w:p w14:paraId="3E32D70F" w14:textId="4EBEE4A6" w:rsidR="002173BD" w:rsidRPr="002B79C1" w:rsidRDefault="002173BD"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Predictive</w:t>
            </w:r>
            <w:r w:rsidR="00243297">
              <w:rPr>
                <w:rFonts w:asciiTheme="minorHAnsi" w:hAnsiTheme="minorHAnsi" w:cstheme="minorHAnsi"/>
                <w:b/>
                <w:sz w:val="18"/>
                <w:szCs w:val="18"/>
              </w:rPr>
              <w:br/>
            </w:r>
            <w:r w:rsidRPr="002B79C1">
              <w:rPr>
                <w:rFonts w:asciiTheme="minorHAnsi" w:hAnsiTheme="minorHAnsi" w:cstheme="minorHAnsi"/>
                <w:b/>
                <w:sz w:val="18"/>
                <w:szCs w:val="18"/>
              </w:rPr>
              <w:t>Maintenance</w:t>
            </w:r>
          </w:p>
        </w:tc>
        <w:tc>
          <w:tcPr>
            <w:tcW w:w="6944" w:type="dxa"/>
            <w:tcBorders>
              <w:left w:val="nil"/>
              <w:right w:val="nil"/>
            </w:tcBorders>
            <w:vAlign w:val="center"/>
          </w:tcPr>
          <w:p w14:paraId="76DE364F" w14:textId="2C6BD9E8" w:rsidR="002173BD" w:rsidRPr="002B79C1" w:rsidRDefault="002173BD" w:rsidP="00C605D4">
            <w:pPr>
              <w:spacing w:line="240" w:lineRule="auto"/>
              <w:ind w:left="284" w:hanging="284"/>
              <w:contextualSpacing/>
              <w:rPr>
                <w:rFonts w:asciiTheme="minorHAnsi" w:hAnsiTheme="minorHAnsi" w:cstheme="minorHAnsi"/>
                <w:color w:val="000000"/>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predictive maintenance</w:t>
            </w:r>
            <w:r w:rsidRPr="002B79C1">
              <w:rPr>
                <w:rFonts w:asciiTheme="minorHAnsi" w:hAnsiTheme="minorHAnsi" w:cstheme="minorHAnsi"/>
                <w:sz w:val="18"/>
                <w:szCs w:val="18"/>
              </w:rPr>
              <w:t xml:space="preserve"> of plant utilization by predicting machine failures, overloads, or other problems.</w:t>
            </w:r>
          </w:p>
        </w:tc>
      </w:tr>
      <w:tr w:rsidR="00C6090F" w:rsidRPr="002B79C1" w14:paraId="4F9C36EF" w14:textId="77777777" w:rsidTr="007C57E6">
        <w:tc>
          <w:tcPr>
            <w:tcW w:w="283" w:type="dxa"/>
            <w:vMerge/>
            <w:tcBorders>
              <w:left w:val="nil"/>
              <w:bottom w:val="single" w:sz="4" w:space="0" w:color="auto"/>
              <w:right w:val="nil"/>
            </w:tcBorders>
            <w:tcMar>
              <w:top w:w="57" w:type="dxa"/>
              <w:bottom w:w="57" w:type="dxa"/>
            </w:tcMar>
            <w:vAlign w:val="center"/>
          </w:tcPr>
          <w:p w14:paraId="77130B16"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309D4520" w14:textId="77777777" w:rsidR="00C6090F" w:rsidRPr="002B79C1" w:rsidRDefault="00C6090F" w:rsidP="00C6090F">
            <w:pPr>
              <w:spacing w:line="240" w:lineRule="auto"/>
              <w:rPr>
                <w:rFonts w:asciiTheme="minorHAnsi" w:hAnsiTheme="minorHAnsi" w:cstheme="minorHAnsi"/>
                <w:b/>
                <w:sz w:val="18"/>
                <w:szCs w:val="18"/>
              </w:rPr>
            </w:pPr>
          </w:p>
        </w:tc>
        <w:tc>
          <w:tcPr>
            <w:tcW w:w="6944" w:type="dxa"/>
            <w:tcBorders>
              <w:left w:val="nil"/>
              <w:right w:val="nil"/>
            </w:tcBorders>
            <w:vAlign w:val="center"/>
          </w:tcPr>
          <w:p w14:paraId="51E4BFBA" w14:textId="67798306" w:rsidR="00C6090F" w:rsidRPr="002B79C1" w:rsidRDefault="002173BD"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Calatayud et al. (2019), Coelho et al. (2021), DHL and Detecon (2016), Dolgui and Ivanov (2022), Frank et al. (2019), IBM and Celonis (2022), Hahn (2020), Kache and Seuring (2017), Meindl et al. (2021), PwC (2020), World Economic Forum and Accenture (2016)</w:t>
            </w:r>
          </w:p>
        </w:tc>
      </w:tr>
      <w:tr w:rsidR="002173BD" w:rsidRPr="002B79C1" w14:paraId="22E5BF19" w14:textId="77777777" w:rsidTr="007C57E6">
        <w:tc>
          <w:tcPr>
            <w:tcW w:w="283" w:type="dxa"/>
            <w:vMerge w:val="restart"/>
            <w:tcBorders>
              <w:top w:val="single" w:sz="4" w:space="0" w:color="auto"/>
              <w:left w:val="nil"/>
              <w:right w:val="nil"/>
            </w:tcBorders>
            <w:tcMar>
              <w:top w:w="57" w:type="dxa"/>
              <w:bottom w:w="57" w:type="dxa"/>
            </w:tcMar>
            <w:vAlign w:val="center"/>
          </w:tcPr>
          <w:p w14:paraId="0A1D5874" w14:textId="698B36E9" w:rsidR="002173BD" w:rsidRPr="002B79C1" w:rsidRDefault="002173BD" w:rsidP="00C6090F">
            <w:pPr>
              <w:spacing w:line="240" w:lineRule="auto"/>
              <w:rPr>
                <w:rFonts w:asciiTheme="minorHAnsi" w:hAnsiTheme="minorHAnsi" w:cstheme="minorHAnsi"/>
                <w:b/>
                <w:sz w:val="18"/>
                <w:szCs w:val="18"/>
                <w:lang w:eastAsia="de-DE"/>
              </w:rPr>
            </w:pPr>
            <w:r w:rsidRPr="002B79C1">
              <w:rPr>
                <w:rFonts w:asciiTheme="minorHAnsi" w:hAnsiTheme="minorHAnsi" w:cstheme="minorHAnsi"/>
                <w:b/>
                <w:sz w:val="18"/>
                <w:szCs w:val="18"/>
              </w:rPr>
              <w:t>31</w:t>
            </w:r>
          </w:p>
        </w:tc>
        <w:tc>
          <w:tcPr>
            <w:tcW w:w="1844" w:type="dxa"/>
            <w:vMerge w:val="restart"/>
            <w:tcBorders>
              <w:top w:val="single" w:sz="4" w:space="0" w:color="auto"/>
              <w:left w:val="nil"/>
              <w:right w:val="nil"/>
            </w:tcBorders>
            <w:vAlign w:val="center"/>
          </w:tcPr>
          <w:p w14:paraId="22D71350" w14:textId="77777777" w:rsidR="002173BD" w:rsidRPr="002B79C1" w:rsidRDefault="002173BD"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Smart Packaging</w:t>
            </w:r>
          </w:p>
        </w:tc>
        <w:tc>
          <w:tcPr>
            <w:tcW w:w="6944" w:type="dxa"/>
            <w:tcBorders>
              <w:left w:val="nil"/>
              <w:right w:val="nil"/>
            </w:tcBorders>
            <w:vAlign w:val="center"/>
          </w:tcPr>
          <w:p w14:paraId="7185539E" w14:textId="597D8501" w:rsidR="002173BD" w:rsidRPr="002B79C1" w:rsidRDefault="002173BD" w:rsidP="00C605D4">
            <w:pPr>
              <w:spacing w:line="240" w:lineRule="auto"/>
              <w:ind w:left="284" w:hanging="284"/>
              <w:contextualSpacing/>
              <w:rPr>
                <w:rFonts w:asciiTheme="minorHAnsi" w:hAnsiTheme="minorHAnsi" w:cstheme="minorHAnsi"/>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control of packaging integrity</w:t>
            </w:r>
            <w:r w:rsidRPr="002B79C1">
              <w:rPr>
                <w:rFonts w:asciiTheme="minorHAnsi" w:hAnsiTheme="minorHAnsi" w:cstheme="minorHAnsi"/>
                <w:sz w:val="18"/>
                <w:szCs w:val="18"/>
              </w:rPr>
              <w:t xml:space="preserve"> by detecting and reporting microscopic changes caused by environmental conditions (e.g., temperature, pressure, leaks) or biological processes (e.g., pathogens, gas mixtures).</w:t>
            </w:r>
          </w:p>
        </w:tc>
      </w:tr>
      <w:tr w:rsidR="00C6090F" w:rsidRPr="002B79C1" w14:paraId="3C6A4C3E" w14:textId="77777777" w:rsidTr="007C57E6">
        <w:tc>
          <w:tcPr>
            <w:tcW w:w="283" w:type="dxa"/>
            <w:vMerge/>
            <w:tcBorders>
              <w:left w:val="nil"/>
              <w:bottom w:val="single" w:sz="4" w:space="0" w:color="auto"/>
              <w:right w:val="nil"/>
            </w:tcBorders>
            <w:tcMar>
              <w:top w:w="57" w:type="dxa"/>
              <w:bottom w:w="57" w:type="dxa"/>
            </w:tcMar>
            <w:vAlign w:val="center"/>
          </w:tcPr>
          <w:p w14:paraId="4B85E317"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6A65D52D" w14:textId="77777777" w:rsidR="00C6090F" w:rsidRPr="002B79C1" w:rsidRDefault="00C6090F" w:rsidP="00C6090F">
            <w:pPr>
              <w:spacing w:line="240" w:lineRule="auto"/>
              <w:rPr>
                <w:rFonts w:asciiTheme="minorHAnsi" w:hAnsiTheme="minorHAnsi" w:cstheme="minorHAnsi"/>
                <w:b/>
                <w:sz w:val="18"/>
                <w:szCs w:val="18"/>
              </w:rPr>
            </w:pPr>
          </w:p>
        </w:tc>
        <w:tc>
          <w:tcPr>
            <w:tcW w:w="6944" w:type="dxa"/>
            <w:tcBorders>
              <w:left w:val="nil"/>
              <w:right w:val="nil"/>
            </w:tcBorders>
            <w:vAlign w:val="center"/>
          </w:tcPr>
          <w:p w14:paraId="7F27FEE3" w14:textId="4E9BECCF" w:rsidR="00C6090F" w:rsidRPr="002B79C1" w:rsidRDefault="002173BD"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Bowles and Lu (2014)</w:t>
            </w:r>
          </w:p>
        </w:tc>
      </w:tr>
      <w:tr w:rsidR="002173BD" w:rsidRPr="002B79C1" w14:paraId="73D626FA" w14:textId="77777777" w:rsidTr="007C57E6">
        <w:tc>
          <w:tcPr>
            <w:tcW w:w="283" w:type="dxa"/>
            <w:vMerge w:val="restart"/>
            <w:tcBorders>
              <w:top w:val="single" w:sz="4" w:space="0" w:color="auto"/>
              <w:left w:val="nil"/>
              <w:right w:val="nil"/>
            </w:tcBorders>
            <w:tcMar>
              <w:top w:w="57" w:type="dxa"/>
              <w:bottom w:w="57" w:type="dxa"/>
            </w:tcMar>
            <w:vAlign w:val="center"/>
          </w:tcPr>
          <w:p w14:paraId="6A33752A" w14:textId="2AAF93B7" w:rsidR="002173BD" w:rsidRPr="002B79C1" w:rsidRDefault="002173BD"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32</w:t>
            </w:r>
          </w:p>
          <w:p w14:paraId="5322C86A" w14:textId="77777777" w:rsidR="002173BD" w:rsidRPr="002B79C1" w:rsidRDefault="002173BD" w:rsidP="00C6090F">
            <w:pPr>
              <w:spacing w:line="240" w:lineRule="auto"/>
              <w:rPr>
                <w:rFonts w:asciiTheme="minorHAnsi" w:hAnsiTheme="minorHAnsi" w:cstheme="minorHAnsi"/>
                <w:b/>
                <w:sz w:val="18"/>
                <w:szCs w:val="18"/>
              </w:rPr>
            </w:pPr>
          </w:p>
        </w:tc>
        <w:tc>
          <w:tcPr>
            <w:tcW w:w="1844" w:type="dxa"/>
            <w:vMerge w:val="restart"/>
            <w:tcBorders>
              <w:top w:val="single" w:sz="4" w:space="0" w:color="auto"/>
              <w:left w:val="nil"/>
              <w:right w:val="nil"/>
            </w:tcBorders>
            <w:vAlign w:val="center"/>
          </w:tcPr>
          <w:p w14:paraId="786F6385" w14:textId="4F6D2E24" w:rsidR="002173BD" w:rsidRPr="002B79C1" w:rsidRDefault="002173BD"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Surveillance of</w:t>
            </w:r>
            <w:r w:rsidR="005174D8" w:rsidRPr="002B79C1">
              <w:rPr>
                <w:rFonts w:asciiTheme="minorHAnsi" w:hAnsiTheme="minorHAnsi" w:cstheme="minorHAnsi"/>
                <w:b/>
                <w:sz w:val="18"/>
                <w:szCs w:val="18"/>
              </w:rPr>
              <w:br/>
            </w:r>
            <w:r w:rsidRPr="002B79C1">
              <w:rPr>
                <w:rFonts w:asciiTheme="minorHAnsi" w:hAnsiTheme="minorHAnsi" w:cstheme="minorHAnsi"/>
                <w:b/>
                <w:sz w:val="18"/>
                <w:szCs w:val="18"/>
              </w:rPr>
              <w:t>Infrastructure</w:t>
            </w:r>
          </w:p>
        </w:tc>
        <w:tc>
          <w:tcPr>
            <w:tcW w:w="6944" w:type="dxa"/>
            <w:tcBorders>
              <w:left w:val="nil"/>
              <w:right w:val="nil"/>
            </w:tcBorders>
            <w:vAlign w:val="center"/>
          </w:tcPr>
          <w:p w14:paraId="00C07F09" w14:textId="34CE59AD" w:rsidR="002173BD" w:rsidRPr="002B79C1" w:rsidRDefault="002173BD" w:rsidP="00C605D4">
            <w:pPr>
              <w:spacing w:line="240" w:lineRule="auto"/>
              <w:ind w:left="284" w:hanging="284"/>
              <w:contextualSpacing/>
              <w:rPr>
                <w:rFonts w:asciiTheme="minorHAnsi" w:hAnsiTheme="minorHAnsi" w:cstheme="minorHAnsi"/>
                <w:color w:val="000000"/>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monitoring and maintenance of hard-to-reach infrastructure</w:t>
            </w:r>
            <w:r w:rsidRPr="002B79C1">
              <w:rPr>
                <w:rFonts w:asciiTheme="minorHAnsi" w:hAnsiTheme="minorHAnsi" w:cstheme="minorHAnsi"/>
                <w:sz w:val="18"/>
                <w:szCs w:val="18"/>
              </w:rPr>
              <w:t xml:space="preserve"> (e.g., high-bay warehouses) by surveilling sites and facilities to prevent theft and report suspected damage.</w:t>
            </w:r>
          </w:p>
        </w:tc>
      </w:tr>
      <w:tr w:rsidR="00C6090F" w:rsidRPr="002B79C1" w14:paraId="758DD265" w14:textId="77777777" w:rsidTr="007C57E6">
        <w:tc>
          <w:tcPr>
            <w:tcW w:w="283" w:type="dxa"/>
            <w:vMerge/>
            <w:tcBorders>
              <w:left w:val="nil"/>
              <w:bottom w:val="single" w:sz="4" w:space="0" w:color="auto"/>
              <w:right w:val="nil"/>
            </w:tcBorders>
            <w:tcMar>
              <w:top w:w="57" w:type="dxa"/>
              <w:bottom w:w="57" w:type="dxa"/>
            </w:tcMar>
            <w:vAlign w:val="center"/>
          </w:tcPr>
          <w:p w14:paraId="76362658"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166A0644" w14:textId="77777777" w:rsidR="00C6090F" w:rsidRPr="002B79C1" w:rsidRDefault="00C6090F" w:rsidP="00C6090F">
            <w:pPr>
              <w:spacing w:line="240" w:lineRule="auto"/>
              <w:rPr>
                <w:rFonts w:asciiTheme="minorHAnsi" w:hAnsiTheme="minorHAnsi" w:cstheme="minorHAnsi"/>
                <w:b/>
                <w:sz w:val="18"/>
                <w:szCs w:val="18"/>
              </w:rPr>
            </w:pPr>
          </w:p>
        </w:tc>
        <w:tc>
          <w:tcPr>
            <w:tcW w:w="6944" w:type="dxa"/>
            <w:tcBorders>
              <w:left w:val="nil"/>
              <w:right w:val="nil"/>
            </w:tcBorders>
            <w:vAlign w:val="center"/>
          </w:tcPr>
          <w:p w14:paraId="343F257C" w14:textId="373C4CD6" w:rsidR="00C6090F" w:rsidRPr="002B79C1" w:rsidRDefault="002173BD"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Coelho et al. (2021), DHL and Detecon (2016)</w:t>
            </w:r>
          </w:p>
        </w:tc>
      </w:tr>
    </w:tbl>
    <w:p w14:paraId="31CEE421" w14:textId="77777777" w:rsidR="00B41149" w:rsidRDefault="00B41149">
      <w:r>
        <w:br w:type="page"/>
      </w:r>
    </w:p>
    <w:tbl>
      <w:tblPr>
        <w:tblStyle w:val="TableGrid"/>
        <w:tblW w:w="9071" w:type="dxa"/>
        <w:tblCellMar>
          <w:top w:w="23" w:type="dxa"/>
          <w:left w:w="28" w:type="dxa"/>
          <w:bottom w:w="23" w:type="dxa"/>
          <w:right w:w="57" w:type="dxa"/>
        </w:tblCellMar>
        <w:tblLook w:val="04A0" w:firstRow="1" w:lastRow="0" w:firstColumn="1" w:lastColumn="0" w:noHBand="0" w:noVBand="1"/>
      </w:tblPr>
      <w:tblGrid>
        <w:gridCol w:w="283"/>
        <w:gridCol w:w="1844"/>
        <w:gridCol w:w="6944"/>
      </w:tblGrid>
      <w:tr w:rsidR="002173BD" w:rsidRPr="002B79C1" w14:paraId="781F5AEF" w14:textId="77777777" w:rsidTr="007C57E6">
        <w:tc>
          <w:tcPr>
            <w:tcW w:w="283" w:type="dxa"/>
            <w:vMerge w:val="restart"/>
            <w:tcBorders>
              <w:top w:val="single" w:sz="4" w:space="0" w:color="auto"/>
              <w:left w:val="nil"/>
              <w:right w:val="nil"/>
            </w:tcBorders>
            <w:tcMar>
              <w:top w:w="57" w:type="dxa"/>
              <w:bottom w:w="57" w:type="dxa"/>
            </w:tcMar>
            <w:vAlign w:val="center"/>
          </w:tcPr>
          <w:p w14:paraId="5E92B33E" w14:textId="00BB7046" w:rsidR="002173BD" w:rsidRPr="002B79C1" w:rsidRDefault="002173BD"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lastRenderedPageBreak/>
              <w:t>33</w:t>
            </w:r>
          </w:p>
        </w:tc>
        <w:tc>
          <w:tcPr>
            <w:tcW w:w="1844" w:type="dxa"/>
            <w:vMerge w:val="restart"/>
            <w:tcBorders>
              <w:top w:val="single" w:sz="4" w:space="0" w:color="auto"/>
              <w:left w:val="nil"/>
              <w:right w:val="nil"/>
            </w:tcBorders>
            <w:vAlign w:val="center"/>
          </w:tcPr>
          <w:p w14:paraId="3CF346A3" w14:textId="77777777" w:rsidR="002173BD" w:rsidRPr="002B79C1" w:rsidRDefault="002173BD"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lang w:eastAsia="de-DE"/>
              </w:rPr>
              <w:t xml:space="preserve">Dynamic Coordination </w:t>
            </w:r>
          </w:p>
        </w:tc>
        <w:tc>
          <w:tcPr>
            <w:tcW w:w="6944" w:type="dxa"/>
            <w:tcBorders>
              <w:left w:val="nil"/>
              <w:right w:val="nil"/>
            </w:tcBorders>
            <w:vAlign w:val="center"/>
          </w:tcPr>
          <w:p w14:paraId="4AF6C639" w14:textId="1ADEDFEC" w:rsidR="002173BD" w:rsidRPr="002B79C1" w:rsidRDefault="002173BD" w:rsidP="00C605D4">
            <w:pPr>
              <w:spacing w:line="240" w:lineRule="auto"/>
              <w:ind w:left="284" w:hanging="284"/>
              <w:contextualSpacing/>
              <w:rPr>
                <w:rFonts w:asciiTheme="minorHAnsi" w:hAnsiTheme="minorHAnsi" w:cstheme="minorHAnsi"/>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dynamic coordination of logistics activities and resources</w:t>
            </w:r>
            <w:r w:rsidRPr="002B79C1">
              <w:rPr>
                <w:rFonts w:asciiTheme="minorHAnsi" w:hAnsiTheme="minorHAnsi" w:cstheme="minorHAnsi"/>
                <w:sz w:val="18"/>
                <w:szCs w:val="18"/>
              </w:rPr>
              <w:t xml:space="preserve"> (i.e., allocation and utilization) by balancing expected demand with available capacity to respond continuously to market changes.</w:t>
            </w:r>
          </w:p>
        </w:tc>
      </w:tr>
      <w:tr w:rsidR="00C6090F" w:rsidRPr="002B79C1" w14:paraId="44E802CA" w14:textId="77777777" w:rsidTr="007C57E6">
        <w:tc>
          <w:tcPr>
            <w:tcW w:w="283" w:type="dxa"/>
            <w:vMerge/>
            <w:tcBorders>
              <w:left w:val="nil"/>
              <w:bottom w:val="single" w:sz="4" w:space="0" w:color="auto"/>
              <w:right w:val="nil"/>
            </w:tcBorders>
            <w:tcMar>
              <w:top w:w="57" w:type="dxa"/>
              <w:bottom w:w="57" w:type="dxa"/>
            </w:tcMar>
            <w:vAlign w:val="center"/>
          </w:tcPr>
          <w:p w14:paraId="501A8367"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242FE85A"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38EF06E3" w14:textId="276CCBF7" w:rsidR="00C6090F" w:rsidRPr="002B79C1" w:rsidRDefault="002173BD"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Ardalan and Diaz (2012a), Ba and Nault (2017), Bhandal et al. (2022), Calatayud et al. (2019), Coronado Mondragon et al. (2017), DHL and Detecon (2016), DHL and IBM (2018), Dolgui and Ivanov (2022), Döppner et al. (2016), Frazzon et al. (2018), Han et al. (2017), IBM and Celonis (2022), Ivanov et al. (2019), Kembro et al. (2017), Kochan et al. (2018), Margherita and Braccini (2020), Meindl et al. (2021), Miebach Consulting GmbH (2018), Morenza-Cinos et al. (2019), Núñez-Merino et al. (2020), Oliveira and Handfield (2019), Oliveira-Dias et al. (2022), Park et al. (2021), PwC (2019), PwC (2020), PwC and Strategy&amp; (2016), Shee et al. (2018), Shu and Barton (2012), Y. Wang et al. (2019), World Economic Forum and Accenture (2016), Yang et al. (2021), Zheng et al. (2021), Zhong et al. (2015), Zhong et al. (2017)</w:t>
            </w:r>
          </w:p>
        </w:tc>
      </w:tr>
      <w:tr w:rsidR="002173BD" w:rsidRPr="002B79C1" w14:paraId="330597F5" w14:textId="77777777" w:rsidTr="007C57E6">
        <w:tc>
          <w:tcPr>
            <w:tcW w:w="283" w:type="dxa"/>
            <w:vMerge w:val="restart"/>
            <w:tcBorders>
              <w:top w:val="single" w:sz="4" w:space="0" w:color="auto"/>
              <w:left w:val="nil"/>
              <w:right w:val="nil"/>
            </w:tcBorders>
            <w:tcMar>
              <w:top w:w="57" w:type="dxa"/>
              <w:bottom w:w="57" w:type="dxa"/>
            </w:tcMar>
            <w:vAlign w:val="center"/>
          </w:tcPr>
          <w:p w14:paraId="57A00CB3" w14:textId="130B7C8E" w:rsidR="002173BD" w:rsidRPr="002B79C1" w:rsidRDefault="002173BD"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34</w:t>
            </w:r>
          </w:p>
        </w:tc>
        <w:tc>
          <w:tcPr>
            <w:tcW w:w="1844" w:type="dxa"/>
            <w:vMerge w:val="restart"/>
            <w:tcBorders>
              <w:top w:val="single" w:sz="4" w:space="0" w:color="auto"/>
              <w:left w:val="nil"/>
              <w:right w:val="nil"/>
            </w:tcBorders>
            <w:vAlign w:val="center"/>
          </w:tcPr>
          <w:p w14:paraId="32140EC9" w14:textId="77777777" w:rsidR="002173BD" w:rsidRPr="002B79C1" w:rsidRDefault="002173BD" w:rsidP="00C6090F">
            <w:pPr>
              <w:spacing w:line="240" w:lineRule="auto"/>
              <w:rPr>
                <w:rFonts w:asciiTheme="minorHAnsi" w:hAnsiTheme="minorHAnsi" w:cstheme="minorHAnsi"/>
                <w:b/>
                <w:sz w:val="18"/>
                <w:szCs w:val="18"/>
                <w:lang w:eastAsia="de-DE"/>
              </w:rPr>
            </w:pPr>
            <w:r w:rsidRPr="002B79C1">
              <w:rPr>
                <w:rFonts w:asciiTheme="minorHAnsi" w:hAnsiTheme="minorHAnsi" w:cstheme="minorHAnsi"/>
                <w:b/>
                <w:sz w:val="18"/>
                <w:szCs w:val="18"/>
                <w:lang w:eastAsia="de-DE"/>
              </w:rPr>
              <w:t>Fleet Optimization</w:t>
            </w:r>
          </w:p>
        </w:tc>
        <w:tc>
          <w:tcPr>
            <w:tcW w:w="6944" w:type="dxa"/>
            <w:tcBorders>
              <w:left w:val="nil"/>
              <w:right w:val="nil"/>
            </w:tcBorders>
            <w:vAlign w:val="center"/>
          </w:tcPr>
          <w:p w14:paraId="6D78168A" w14:textId="04026F41" w:rsidR="002173BD" w:rsidRPr="002B79C1" w:rsidRDefault="002173BD" w:rsidP="00C605D4">
            <w:pPr>
              <w:spacing w:line="240" w:lineRule="auto"/>
              <w:ind w:left="284" w:hanging="284"/>
              <w:contextualSpacing/>
              <w:rPr>
                <w:rFonts w:asciiTheme="minorHAnsi" w:hAnsiTheme="minorHAnsi" w:cstheme="minorHAnsi"/>
                <w:color w:val="000000"/>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simultaneous optimization of multiple transport vehicles</w:t>
            </w:r>
            <w:r w:rsidRPr="002B79C1">
              <w:rPr>
                <w:rFonts w:asciiTheme="minorHAnsi" w:hAnsiTheme="minorHAnsi" w:cstheme="minorHAnsi"/>
                <w:sz w:val="18"/>
                <w:szCs w:val="18"/>
              </w:rPr>
              <w:t xml:space="preserve"> in terms of utilization and mileage by connecting them into a network with seamless information exchange, thereby enabling travel time prediction and route consolidation.</w:t>
            </w:r>
          </w:p>
        </w:tc>
      </w:tr>
      <w:tr w:rsidR="00C6090F" w:rsidRPr="002B79C1" w14:paraId="73DC4653" w14:textId="77777777" w:rsidTr="007C57E6">
        <w:tc>
          <w:tcPr>
            <w:tcW w:w="283" w:type="dxa"/>
            <w:vMerge/>
            <w:tcBorders>
              <w:left w:val="nil"/>
              <w:bottom w:val="single" w:sz="4" w:space="0" w:color="auto"/>
              <w:right w:val="nil"/>
            </w:tcBorders>
            <w:tcMar>
              <w:top w:w="57" w:type="dxa"/>
              <w:bottom w:w="57" w:type="dxa"/>
            </w:tcMar>
            <w:vAlign w:val="center"/>
          </w:tcPr>
          <w:p w14:paraId="51817019"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6DB64852"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1FAABB33" w14:textId="14DB3853" w:rsidR="00C6090F" w:rsidRPr="002B79C1" w:rsidRDefault="002173BD"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Chung (2021), Coelho et al. (2021), Coronado Mondragon et al. (2012), Coronado Mondragon et al. (2017), DHL and Cisco (2015), Dolgui and Ivanov (2022), Leofante et al. (2019), PwC (2019)</w:t>
            </w:r>
          </w:p>
        </w:tc>
      </w:tr>
      <w:tr w:rsidR="009D64C2" w:rsidRPr="002B79C1" w14:paraId="5D0775F1" w14:textId="77777777" w:rsidTr="007C57E6">
        <w:tc>
          <w:tcPr>
            <w:tcW w:w="283" w:type="dxa"/>
            <w:vMerge w:val="restart"/>
            <w:tcBorders>
              <w:top w:val="single" w:sz="4" w:space="0" w:color="auto"/>
              <w:left w:val="nil"/>
              <w:right w:val="nil"/>
            </w:tcBorders>
            <w:tcMar>
              <w:top w:w="57" w:type="dxa"/>
              <w:bottom w:w="57" w:type="dxa"/>
            </w:tcMar>
            <w:vAlign w:val="center"/>
          </w:tcPr>
          <w:p w14:paraId="2CE0B802" w14:textId="743724E1" w:rsidR="009D64C2" w:rsidRPr="002B79C1" w:rsidRDefault="009D64C2"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35</w:t>
            </w:r>
          </w:p>
        </w:tc>
        <w:tc>
          <w:tcPr>
            <w:tcW w:w="1844" w:type="dxa"/>
            <w:vMerge w:val="restart"/>
            <w:tcBorders>
              <w:top w:val="single" w:sz="4" w:space="0" w:color="auto"/>
              <w:left w:val="nil"/>
              <w:right w:val="nil"/>
            </w:tcBorders>
            <w:vAlign w:val="center"/>
          </w:tcPr>
          <w:p w14:paraId="43FFFC2B" w14:textId="77777777" w:rsidR="009D64C2" w:rsidRPr="002B79C1" w:rsidRDefault="009D64C2" w:rsidP="00C6090F">
            <w:pPr>
              <w:spacing w:line="240" w:lineRule="auto"/>
              <w:rPr>
                <w:rFonts w:asciiTheme="minorHAnsi" w:hAnsiTheme="minorHAnsi" w:cstheme="minorHAnsi"/>
                <w:b/>
                <w:sz w:val="18"/>
                <w:szCs w:val="18"/>
                <w:lang w:eastAsia="de-DE"/>
              </w:rPr>
            </w:pPr>
            <w:r w:rsidRPr="002B79C1">
              <w:rPr>
                <w:rFonts w:asciiTheme="minorHAnsi" w:hAnsiTheme="minorHAnsi" w:cstheme="minorHAnsi"/>
                <w:b/>
                <w:sz w:val="18"/>
                <w:szCs w:val="18"/>
                <w:lang w:eastAsia="de-DE"/>
              </w:rPr>
              <w:t>Route Optimization</w:t>
            </w:r>
          </w:p>
        </w:tc>
        <w:tc>
          <w:tcPr>
            <w:tcW w:w="6944" w:type="dxa"/>
            <w:tcBorders>
              <w:left w:val="nil"/>
              <w:right w:val="nil"/>
            </w:tcBorders>
            <w:vAlign w:val="center"/>
          </w:tcPr>
          <w:p w14:paraId="33263D39" w14:textId="524EB7BF" w:rsidR="009D64C2" w:rsidRPr="002B79C1" w:rsidRDefault="009D64C2" w:rsidP="00C605D4">
            <w:pPr>
              <w:spacing w:line="240" w:lineRule="auto"/>
              <w:ind w:left="284" w:hanging="284"/>
              <w:contextualSpacing/>
              <w:rPr>
                <w:rFonts w:asciiTheme="minorHAnsi" w:hAnsiTheme="minorHAnsi" w:cstheme="minorHAnsi"/>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dynamic optimization of transportation routes</w:t>
            </w:r>
            <w:r w:rsidRPr="002B79C1">
              <w:rPr>
                <w:rFonts w:asciiTheme="minorHAnsi" w:hAnsiTheme="minorHAnsi" w:cstheme="minorHAnsi"/>
                <w:sz w:val="18"/>
                <w:szCs w:val="18"/>
              </w:rPr>
              <w:t xml:space="preserve"> by monitoring traffic in real-time and analyzing big data to identify movement patterns and frequent routes.</w:t>
            </w:r>
          </w:p>
        </w:tc>
      </w:tr>
      <w:tr w:rsidR="00C6090F" w:rsidRPr="002B79C1" w14:paraId="5867113E" w14:textId="77777777" w:rsidTr="007C57E6">
        <w:tc>
          <w:tcPr>
            <w:tcW w:w="283" w:type="dxa"/>
            <w:vMerge/>
            <w:tcBorders>
              <w:left w:val="nil"/>
              <w:bottom w:val="single" w:sz="4" w:space="0" w:color="auto"/>
              <w:right w:val="nil"/>
            </w:tcBorders>
            <w:tcMar>
              <w:top w:w="57" w:type="dxa"/>
              <w:bottom w:w="57" w:type="dxa"/>
            </w:tcMar>
            <w:vAlign w:val="center"/>
          </w:tcPr>
          <w:p w14:paraId="5FD062F9"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5871DD53"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19186854" w14:textId="62FB459B" w:rsidR="00C6090F" w:rsidRPr="002B79C1" w:rsidRDefault="009D64C2"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Chung (2021), Coelho et al. (2021), DHL and Detecon (2016), DHL and IBM (2018), Dolgui and Ivanov (2022), Ivanov et al. (2019), S. Lee et al. (2016), Margherita and Braccini (2020), Núñez-Merino et al. (2020), Oliveira-Dias et al. (2022), Park et al. (2021), Rejeb et al. (2021), J. Wang et al. (2020), World Economic Forum and Accenture (2016), Yang et al. (2021), Zheng et al. (2021), Zhong et al. (2015)</w:t>
            </w:r>
          </w:p>
        </w:tc>
      </w:tr>
      <w:tr w:rsidR="009D64C2" w:rsidRPr="002B79C1" w14:paraId="1A77655D" w14:textId="77777777" w:rsidTr="007C57E6">
        <w:tc>
          <w:tcPr>
            <w:tcW w:w="283" w:type="dxa"/>
            <w:vMerge w:val="restart"/>
            <w:tcBorders>
              <w:top w:val="single" w:sz="4" w:space="0" w:color="auto"/>
              <w:left w:val="nil"/>
              <w:right w:val="nil"/>
            </w:tcBorders>
            <w:tcMar>
              <w:top w:w="57" w:type="dxa"/>
              <w:bottom w:w="57" w:type="dxa"/>
            </w:tcMar>
            <w:vAlign w:val="center"/>
          </w:tcPr>
          <w:p w14:paraId="1B12C03D" w14:textId="74E36500" w:rsidR="009D64C2" w:rsidRPr="002B79C1" w:rsidRDefault="009D64C2"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36</w:t>
            </w:r>
          </w:p>
          <w:p w14:paraId="3965AF77" w14:textId="77777777" w:rsidR="009D64C2" w:rsidRPr="002B79C1" w:rsidRDefault="009D64C2" w:rsidP="00C6090F">
            <w:pPr>
              <w:spacing w:line="240" w:lineRule="auto"/>
              <w:rPr>
                <w:rFonts w:asciiTheme="minorHAnsi" w:hAnsiTheme="minorHAnsi" w:cstheme="minorHAnsi"/>
                <w:b/>
                <w:sz w:val="18"/>
                <w:szCs w:val="18"/>
              </w:rPr>
            </w:pPr>
          </w:p>
        </w:tc>
        <w:tc>
          <w:tcPr>
            <w:tcW w:w="1844" w:type="dxa"/>
            <w:vMerge w:val="restart"/>
            <w:tcBorders>
              <w:top w:val="single" w:sz="4" w:space="0" w:color="auto"/>
              <w:left w:val="nil"/>
              <w:right w:val="nil"/>
            </w:tcBorders>
            <w:vAlign w:val="center"/>
          </w:tcPr>
          <w:p w14:paraId="0D0947C4" w14:textId="34F1310D" w:rsidR="009D64C2" w:rsidRPr="002B79C1" w:rsidRDefault="009D64C2" w:rsidP="00C6090F">
            <w:pPr>
              <w:spacing w:line="240" w:lineRule="auto"/>
              <w:rPr>
                <w:rFonts w:asciiTheme="minorHAnsi" w:hAnsiTheme="minorHAnsi" w:cstheme="minorHAnsi"/>
                <w:b/>
                <w:sz w:val="18"/>
                <w:szCs w:val="18"/>
                <w:lang w:eastAsia="de-DE"/>
              </w:rPr>
            </w:pPr>
            <w:r w:rsidRPr="002B79C1">
              <w:rPr>
                <w:rFonts w:asciiTheme="minorHAnsi" w:hAnsiTheme="minorHAnsi" w:cstheme="minorHAnsi"/>
                <w:b/>
                <w:sz w:val="18"/>
                <w:szCs w:val="18"/>
                <w:lang w:eastAsia="de-DE"/>
              </w:rPr>
              <w:t>Automatic</w:t>
            </w:r>
            <w:r w:rsidR="005174D8" w:rsidRPr="002B79C1">
              <w:rPr>
                <w:rFonts w:asciiTheme="minorHAnsi" w:hAnsiTheme="minorHAnsi" w:cstheme="minorHAnsi"/>
                <w:b/>
                <w:sz w:val="18"/>
                <w:szCs w:val="18"/>
                <w:lang w:eastAsia="de-DE"/>
              </w:rPr>
              <w:br/>
            </w:r>
            <w:r w:rsidRPr="002B79C1">
              <w:rPr>
                <w:rFonts w:asciiTheme="minorHAnsi" w:hAnsiTheme="minorHAnsi" w:cstheme="minorHAnsi"/>
                <w:b/>
                <w:sz w:val="18"/>
                <w:szCs w:val="18"/>
                <w:lang w:eastAsia="de-DE"/>
              </w:rPr>
              <w:t>Goods Replenishment</w:t>
            </w:r>
          </w:p>
        </w:tc>
        <w:tc>
          <w:tcPr>
            <w:tcW w:w="6944" w:type="dxa"/>
            <w:tcBorders>
              <w:left w:val="nil"/>
              <w:right w:val="nil"/>
            </w:tcBorders>
            <w:vAlign w:val="center"/>
          </w:tcPr>
          <w:p w14:paraId="4A3626B2" w14:textId="1A79E1DC" w:rsidR="009D64C2" w:rsidRPr="002B79C1" w:rsidRDefault="009D64C2" w:rsidP="00C605D4">
            <w:pPr>
              <w:spacing w:line="240" w:lineRule="auto"/>
              <w:ind w:left="284" w:hanging="284"/>
              <w:contextualSpacing/>
              <w:rPr>
                <w:rFonts w:asciiTheme="minorHAnsi" w:hAnsiTheme="minorHAnsi" w:cstheme="minorHAnsi"/>
                <w:color w:val="000000"/>
                <w:sz w:val="18"/>
                <w:szCs w:val="18"/>
              </w:rPr>
            </w:pPr>
            <w:r w:rsidRPr="002B79C1">
              <w:rPr>
                <w:rFonts w:asciiTheme="minorHAnsi" w:hAnsiTheme="minorHAnsi" w:cstheme="minorHAnsi"/>
                <w:sz w:val="18"/>
                <w:szCs w:val="18"/>
              </w:rPr>
              <w:t xml:space="preserve">[...] enables the </w:t>
            </w:r>
            <w:r w:rsidRPr="002B79C1">
              <w:rPr>
                <w:rFonts w:asciiTheme="minorHAnsi" w:hAnsiTheme="minorHAnsi" w:cstheme="minorHAnsi"/>
                <w:b/>
                <w:sz w:val="18"/>
                <w:szCs w:val="18"/>
              </w:rPr>
              <w:t>automatic replacement procurement</w:t>
            </w:r>
            <w:r w:rsidRPr="002B79C1">
              <w:rPr>
                <w:rFonts w:asciiTheme="minorHAnsi" w:hAnsiTheme="minorHAnsi" w:cstheme="minorHAnsi"/>
                <w:sz w:val="18"/>
                <w:szCs w:val="18"/>
              </w:rPr>
              <w:t xml:space="preserve"> of required goods by monitoring current inventories and comparing them with upcoming demands while considering delivery conditions (e.g., lead times, price fluctuations).</w:t>
            </w:r>
          </w:p>
        </w:tc>
      </w:tr>
      <w:tr w:rsidR="00C6090F" w:rsidRPr="002B79C1" w14:paraId="30BAD19C" w14:textId="77777777" w:rsidTr="007C57E6">
        <w:tc>
          <w:tcPr>
            <w:tcW w:w="283" w:type="dxa"/>
            <w:vMerge/>
            <w:tcBorders>
              <w:left w:val="nil"/>
              <w:bottom w:val="single" w:sz="4" w:space="0" w:color="auto"/>
              <w:right w:val="nil"/>
            </w:tcBorders>
            <w:tcMar>
              <w:top w:w="57" w:type="dxa"/>
              <w:bottom w:w="57" w:type="dxa"/>
            </w:tcMar>
            <w:vAlign w:val="center"/>
          </w:tcPr>
          <w:p w14:paraId="1E69758C"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4ECF4780"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17519B2D" w14:textId="3313EDAC" w:rsidR="00C6090F" w:rsidRPr="002B79C1" w:rsidRDefault="009D64C2"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Bogataj et al. (2017), DHL and Cisco (2015), Frank et al. (2019), Holmström and Partanen (2014), Margherita and Braccini (2020), Nayernia et al. (2021), Núñez-Merino et al. (2020), Oliveira-Dias et al. (2022), Park et al. (2021), Sasson and Johnson (2016), Wu et al. (2011), Yang et al. (2021), Zheng et al. (2021)</w:t>
            </w:r>
          </w:p>
        </w:tc>
      </w:tr>
      <w:tr w:rsidR="009D64C2" w:rsidRPr="002B79C1" w14:paraId="4859754B" w14:textId="77777777" w:rsidTr="007C57E6">
        <w:tc>
          <w:tcPr>
            <w:tcW w:w="283" w:type="dxa"/>
            <w:vMerge w:val="restart"/>
            <w:tcBorders>
              <w:top w:val="single" w:sz="4" w:space="0" w:color="auto"/>
              <w:left w:val="nil"/>
              <w:right w:val="nil"/>
            </w:tcBorders>
            <w:tcMar>
              <w:top w:w="57" w:type="dxa"/>
              <w:bottom w:w="57" w:type="dxa"/>
            </w:tcMar>
            <w:vAlign w:val="center"/>
          </w:tcPr>
          <w:p w14:paraId="340B348F" w14:textId="4FD62355" w:rsidR="009D64C2" w:rsidRPr="002B79C1" w:rsidRDefault="009D64C2"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37</w:t>
            </w:r>
          </w:p>
          <w:p w14:paraId="2CEC27E5" w14:textId="77777777" w:rsidR="009D64C2" w:rsidRPr="002B79C1" w:rsidRDefault="009D64C2" w:rsidP="00C6090F">
            <w:pPr>
              <w:spacing w:line="240" w:lineRule="auto"/>
              <w:rPr>
                <w:rFonts w:asciiTheme="minorHAnsi" w:hAnsiTheme="minorHAnsi" w:cstheme="minorHAnsi"/>
                <w:b/>
                <w:sz w:val="18"/>
                <w:szCs w:val="18"/>
              </w:rPr>
            </w:pPr>
          </w:p>
        </w:tc>
        <w:tc>
          <w:tcPr>
            <w:tcW w:w="1844" w:type="dxa"/>
            <w:vMerge w:val="restart"/>
            <w:tcBorders>
              <w:top w:val="single" w:sz="4" w:space="0" w:color="auto"/>
              <w:left w:val="nil"/>
              <w:right w:val="nil"/>
            </w:tcBorders>
            <w:vAlign w:val="center"/>
          </w:tcPr>
          <w:p w14:paraId="7AC33CC7" w14:textId="2695FC27" w:rsidR="009D64C2" w:rsidRPr="002B79C1" w:rsidRDefault="009D64C2" w:rsidP="00C6090F">
            <w:pPr>
              <w:spacing w:line="240" w:lineRule="auto"/>
              <w:rPr>
                <w:rFonts w:asciiTheme="minorHAnsi" w:hAnsiTheme="minorHAnsi" w:cstheme="minorHAnsi"/>
                <w:b/>
                <w:sz w:val="18"/>
                <w:szCs w:val="18"/>
                <w:lang w:eastAsia="de-DE"/>
              </w:rPr>
            </w:pPr>
            <w:r w:rsidRPr="002B79C1">
              <w:rPr>
                <w:rFonts w:asciiTheme="minorHAnsi" w:hAnsiTheme="minorHAnsi" w:cstheme="minorHAnsi"/>
                <w:b/>
                <w:sz w:val="18"/>
                <w:szCs w:val="18"/>
                <w:lang w:eastAsia="de-DE"/>
              </w:rPr>
              <w:t>Automatic</w:t>
            </w:r>
            <w:r w:rsidR="005174D8" w:rsidRPr="002B79C1">
              <w:rPr>
                <w:rFonts w:asciiTheme="minorHAnsi" w:hAnsiTheme="minorHAnsi" w:cstheme="minorHAnsi"/>
                <w:b/>
                <w:sz w:val="18"/>
                <w:szCs w:val="18"/>
                <w:lang w:eastAsia="de-DE"/>
              </w:rPr>
              <w:br/>
            </w:r>
            <w:r w:rsidRPr="002B79C1">
              <w:rPr>
                <w:rFonts w:asciiTheme="minorHAnsi" w:hAnsiTheme="minorHAnsi" w:cstheme="minorHAnsi"/>
                <w:b/>
                <w:sz w:val="18"/>
                <w:szCs w:val="18"/>
                <w:lang w:eastAsia="de-DE"/>
              </w:rPr>
              <w:t>Storage Policy</w:t>
            </w:r>
          </w:p>
        </w:tc>
        <w:tc>
          <w:tcPr>
            <w:tcW w:w="6944" w:type="dxa"/>
            <w:tcBorders>
              <w:left w:val="nil"/>
              <w:right w:val="nil"/>
            </w:tcBorders>
            <w:vAlign w:val="center"/>
          </w:tcPr>
          <w:p w14:paraId="1CFD9C14" w14:textId="6B22B715" w:rsidR="009D64C2" w:rsidRPr="002B79C1" w:rsidRDefault="009D64C2" w:rsidP="00C605D4">
            <w:pPr>
              <w:spacing w:line="240" w:lineRule="auto"/>
              <w:ind w:left="284" w:hanging="284"/>
              <w:contextualSpacing/>
              <w:rPr>
                <w:rFonts w:asciiTheme="minorHAnsi" w:hAnsiTheme="minorHAnsi" w:cstheme="minorHAnsi"/>
                <w:color w:val="000000"/>
                <w:sz w:val="18"/>
                <w:szCs w:val="18"/>
              </w:rPr>
            </w:pPr>
            <w:r w:rsidRPr="002B79C1">
              <w:rPr>
                <w:rFonts w:asciiTheme="minorHAnsi" w:hAnsiTheme="minorHAnsi" w:cstheme="minorHAnsi"/>
                <w:sz w:val="18"/>
                <w:szCs w:val="18"/>
              </w:rPr>
              <w:t>[...] enables the automation of storage decisions by applying learning algorithms that determine the storage type, storage location, and bundle size (e.g., single part or pallet) independent of the order structure.</w:t>
            </w:r>
          </w:p>
        </w:tc>
      </w:tr>
      <w:tr w:rsidR="00C6090F" w:rsidRPr="002B79C1" w14:paraId="5E5699B0" w14:textId="77777777" w:rsidTr="007C57E6">
        <w:tc>
          <w:tcPr>
            <w:tcW w:w="283" w:type="dxa"/>
            <w:vMerge/>
            <w:tcBorders>
              <w:left w:val="nil"/>
              <w:bottom w:val="single" w:sz="4" w:space="0" w:color="auto"/>
              <w:right w:val="nil"/>
            </w:tcBorders>
            <w:tcMar>
              <w:top w:w="57" w:type="dxa"/>
              <w:bottom w:w="57" w:type="dxa"/>
            </w:tcMar>
            <w:vAlign w:val="center"/>
          </w:tcPr>
          <w:p w14:paraId="15328A77"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4EF6C288"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530ABF38" w14:textId="5283AF2B" w:rsidR="00C6090F" w:rsidRPr="002B79C1" w:rsidRDefault="009D64C2" w:rsidP="00C6090F">
            <w:pPr>
              <w:spacing w:line="240" w:lineRule="auto"/>
              <w:rPr>
                <w:rFonts w:asciiTheme="minorHAnsi" w:hAnsiTheme="minorHAnsi" w:cstheme="minorHAnsi"/>
                <w:sz w:val="18"/>
                <w:szCs w:val="18"/>
              </w:rPr>
            </w:pPr>
            <w:r w:rsidRPr="002B79C1">
              <w:rPr>
                <w:rFonts w:asciiTheme="minorHAnsi" w:hAnsiTheme="minorHAnsi" w:cstheme="minorHAnsi"/>
                <w:sz w:val="18"/>
                <w:szCs w:val="18"/>
              </w:rPr>
              <w:t>Fosso Wamba and Chatfield (2011), Meindl et al. (2021), Núñez-Merino et al. (2020), Oliveira-Dias et al. (2022), PwC (2020), Zheng et al. (2021)</w:t>
            </w:r>
          </w:p>
        </w:tc>
      </w:tr>
      <w:tr w:rsidR="009D64C2" w:rsidRPr="002B79C1" w14:paraId="31A3975E" w14:textId="77777777" w:rsidTr="007C57E6">
        <w:tc>
          <w:tcPr>
            <w:tcW w:w="283" w:type="dxa"/>
            <w:vMerge w:val="restart"/>
            <w:tcBorders>
              <w:top w:val="single" w:sz="4" w:space="0" w:color="auto"/>
              <w:left w:val="nil"/>
              <w:right w:val="nil"/>
            </w:tcBorders>
            <w:tcMar>
              <w:top w:w="57" w:type="dxa"/>
              <w:bottom w:w="57" w:type="dxa"/>
            </w:tcMar>
            <w:vAlign w:val="center"/>
          </w:tcPr>
          <w:p w14:paraId="2D7EB725" w14:textId="04939A2E" w:rsidR="009D64C2" w:rsidRPr="002B79C1" w:rsidRDefault="009D64C2"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38</w:t>
            </w:r>
          </w:p>
        </w:tc>
        <w:tc>
          <w:tcPr>
            <w:tcW w:w="1844" w:type="dxa"/>
            <w:vMerge w:val="restart"/>
            <w:tcBorders>
              <w:top w:val="single" w:sz="4" w:space="0" w:color="auto"/>
              <w:left w:val="nil"/>
              <w:right w:val="nil"/>
            </w:tcBorders>
            <w:vAlign w:val="center"/>
          </w:tcPr>
          <w:p w14:paraId="7144D257" w14:textId="77777777" w:rsidR="009D64C2" w:rsidRPr="002B79C1" w:rsidRDefault="009D64C2" w:rsidP="00C6090F">
            <w:pPr>
              <w:spacing w:line="240" w:lineRule="auto"/>
              <w:rPr>
                <w:rFonts w:asciiTheme="minorHAnsi" w:hAnsiTheme="minorHAnsi" w:cstheme="minorHAnsi"/>
                <w:b/>
                <w:sz w:val="18"/>
                <w:szCs w:val="18"/>
                <w:lang w:eastAsia="de-DE"/>
              </w:rPr>
            </w:pPr>
            <w:r w:rsidRPr="002B79C1">
              <w:rPr>
                <w:rFonts w:asciiTheme="minorHAnsi" w:hAnsiTheme="minorHAnsi" w:cstheme="minorHAnsi"/>
                <w:b/>
                <w:sz w:val="18"/>
                <w:szCs w:val="18"/>
                <w:lang w:eastAsia="de-DE"/>
              </w:rPr>
              <w:t>Self-Steering Process</w:t>
            </w:r>
          </w:p>
        </w:tc>
        <w:tc>
          <w:tcPr>
            <w:tcW w:w="6944" w:type="dxa"/>
            <w:tcBorders>
              <w:left w:val="nil"/>
              <w:right w:val="nil"/>
            </w:tcBorders>
            <w:vAlign w:val="center"/>
          </w:tcPr>
          <w:p w14:paraId="3D0CDDBE" w14:textId="7AACEDC9" w:rsidR="009D64C2" w:rsidRPr="002B79C1" w:rsidRDefault="009D64C2" w:rsidP="00C605D4">
            <w:pPr>
              <w:spacing w:line="240" w:lineRule="auto"/>
              <w:ind w:left="284" w:hanging="284"/>
              <w:contextualSpacing/>
              <w:rPr>
                <w:rFonts w:asciiTheme="minorHAnsi" w:hAnsiTheme="minorHAnsi" w:cstheme="minorHAnsi"/>
                <w:sz w:val="18"/>
                <w:szCs w:val="18"/>
              </w:rPr>
            </w:pPr>
            <w:r w:rsidRPr="002B79C1">
              <w:rPr>
                <w:rFonts w:asciiTheme="minorHAnsi" w:hAnsiTheme="minorHAnsi" w:cstheme="minorHAnsi"/>
                <w:sz w:val="18"/>
                <w:szCs w:val="18"/>
              </w:rPr>
              <w:t>[...] enables the automation of operational decision-making in dynamic environments by continuously adapting algorithms, thereby improving results over time.</w:t>
            </w:r>
          </w:p>
        </w:tc>
      </w:tr>
      <w:tr w:rsidR="00C6090F" w:rsidRPr="002B79C1" w14:paraId="73881115" w14:textId="77777777" w:rsidTr="007C57E6">
        <w:tc>
          <w:tcPr>
            <w:tcW w:w="283" w:type="dxa"/>
            <w:vMerge/>
            <w:tcBorders>
              <w:left w:val="nil"/>
              <w:bottom w:val="single" w:sz="4" w:space="0" w:color="auto"/>
              <w:right w:val="nil"/>
            </w:tcBorders>
            <w:tcMar>
              <w:top w:w="57" w:type="dxa"/>
              <w:bottom w:w="57" w:type="dxa"/>
            </w:tcMar>
            <w:vAlign w:val="center"/>
          </w:tcPr>
          <w:p w14:paraId="06ED8EE0"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628EE663"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10930734" w14:textId="762466F9" w:rsidR="00C6090F" w:rsidRPr="002B79C1" w:rsidRDefault="009D64C2"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 xml:space="preserve">Calatayud et al. (2019), Coelho et al. (2021), DHL and Detecon (2016), DHL and IBM (2018), Frank et al. </w:t>
            </w:r>
            <w:r w:rsidRPr="002B79C1">
              <w:rPr>
                <w:rFonts w:asciiTheme="minorHAnsi" w:hAnsiTheme="minorHAnsi" w:cstheme="minorHAnsi"/>
                <w:color w:val="000000"/>
                <w:sz w:val="18"/>
                <w:szCs w:val="18"/>
                <w:lang w:val="de-DE"/>
              </w:rPr>
              <w:t xml:space="preserve">(2019), Frazzon et al. (2018), Gartner (2022), Hahn (2020), Park et al. (2021), PwC (2019), PwC (2020), Zhong et al. </w:t>
            </w:r>
            <w:r w:rsidRPr="002B79C1">
              <w:rPr>
                <w:rFonts w:asciiTheme="minorHAnsi" w:hAnsiTheme="minorHAnsi" w:cstheme="minorHAnsi"/>
                <w:color w:val="000000"/>
                <w:sz w:val="18"/>
                <w:szCs w:val="18"/>
              </w:rPr>
              <w:t>(2017)</w:t>
            </w:r>
          </w:p>
        </w:tc>
      </w:tr>
      <w:tr w:rsidR="009D64C2" w:rsidRPr="002B79C1" w14:paraId="33B117C4" w14:textId="77777777" w:rsidTr="007C57E6">
        <w:tc>
          <w:tcPr>
            <w:tcW w:w="283" w:type="dxa"/>
            <w:vMerge w:val="restart"/>
            <w:tcBorders>
              <w:top w:val="single" w:sz="4" w:space="0" w:color="auto"/>
              <w:left w:val="nil"/>
              <w:right w:val="nil"/>
            </w:tcBorders>
            <w:tcMar>
              <w:top w:w="57" w:type="dxa"/>
              <w:bottom w:w="57" w:type="dxa"/>
            </w:tcMar>
            <w:vAlign w:val="center"/>
          </w:tcPr>
          <w:p w14:paraId="6BF2C6B7" w14:textId="77777777" w:rsidR="009D64C2" w:rsidRPr="002B79C1" w:rsidRDefault="009D64C2"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39</w:t>
            </w:r>
          </w:p>
          <w:p w14:paraId="5BBE44F4" w14:textId="77777777" w:rsidR="009D64C2" w:rsidRPr="002B79C1" w:rsidRDefault="009D64C2" w:rsidP="00C6090F">
            <w:pPr>
              <w:spacing w:line="240" w:lineRule="auto"/>
              <w:rPr>
                <w:rFonts w:asciiTheme="minorHAnsi" w:hAnsiTheme="minorHAnsi" w:cstheme="minorHAnsi"/>
                <w:b/>
                <w:sz w:val="18"/>
                <w:szCs w:val="18"/>
              </w:rPr>
            </w:pPr>
          </w:p>
        </w:tc>
        <w:tc>
          <w:tcPr>
            <w:tcW w:w="1844" w:type="dxa"/>
            <w:vMerge w:val="restart"/>
            <w:tcBorders>
              <w:top w:val="single" w:sz="4" w:space="0" w:color="auto"/>
              <w:left w:val="nil"/>
              <w:right w:val="nil"/>
            </w:tcBorders>
            <w:vAlign w:val="center"/>
          </w:tcPr>
          <w:p w14:paraId="2D6822D4" w14:textId="5192E6F3" w:rsidR="009D64C2" w:rsidRPr="002B79C1" w:rsidRDefault="009D64C2" w:rsidP="00C6090F">
            <w:pPr>
              <w:spacing w:line="240" w:lineRule="auto"/>
              <w:rPr>
                <w:rFonts w:asciiTheme="minorHAnsi" w:hAnsiTheme="minorHAnsi" w:cstheme="minorHAnsi"/>
                <w:b/>
                <w:sz w:val="18"/>
                <w:szCs w:val="18"/>
                <w:lang w:eastAsia="de-DE"/>
              </w:rPr>
            </w:pPr>
            <w:r w:rsidRPr="002B79C1">
              <w:rPr>
                <w:rFonts w:asciiTheme="minorHAnsi" w:hAnsiTheme="minorHAnsi" w:cstheme="minorHAnsi"/>
                <w:b/>
                <w:sz w:val="18"/>
                <w:szCs w:val="18"/>
                <w:lang w:eastAsia="de-DE"/>
              </w:rPr>
              <w:t>Interruption</w:t>
            </w:r>
            <w:r w:rsidR="005174D8" w:rsidRPr="002B79C1">
              <w:rPr>
                <w:rFonts w:asciiTheme="minorHAnsi" w:hAnsiTheme="minorHAnsi" w:cstheme="minorHAnsi"/>
                <w:b/>
                <w:sz w:val="18"/>
                <w:szCs w:val="18"/>
                <w:lang w:eastAsia="de-DE"/>
              </w:rPr>
              <w:br/>
            </w:r>
            <w:r w:rsidRPr="002B79C1">
              <w:rPr>
                <w:rFonts w:asciiTheme="minorHAnsi" w:hAnsiTheme="minorHAnsi" w:cstheme="minorHAnsi"/>
                <w:b/>
                <w:sz w:val="18"/>
                <w:szCs w:val="18"/>
                <w:lang w:eastAsia="de-DE"/>
              </w:rPr>
              <w:t>Identification</w:t>
            </w:r>
          </w:p>
        </w:tc>
        <w:tc>
          <w:tcPr>
            <w:tcW w:w="6944" w:type="dxa"/>
            <w:tcBorders>
              <w:left w:val="nil"/>
              <w:right w:val="nil"/>
            </w:tcBorders>
            <w:vAlign w:val="center"/>
          </w:tcPr>
          <w:p w14:paraId="7BCE481A" w14:textId="0B6B5ED9" w:rsidR="009D64C2" w:rsidRPr="002B79C1" w:rsidRDefault="009D64C2" w:rsidP="00C605D4">
            <w:pPr>
              <w:spacing w:line="240" w:lineRule="auto"/>
              <w:ind w:left="284" w:hanging="284"/>
              <w:contextualSpacing/>
              <w:rPr>
                <w:rFonts w:asciiTheme="minorHAnsi" w:hAnsiTheme="minorHAnsi" w:cstheme="minorHAnsi"/>
                <w:color w:val="000000"/>
                <w:sz w:val="18"/>
                <w:szCs w:val="18"/>
              </w:rPr>
            </w:pPr>
            <w:r w:rsidRPr="002B79C1">
              <w:rPr>
                <w:rFonts w:asciiTheme="minorHAnsi" w:hAnsiTheme="minorHAnsi" w:cstheme="minorHAnsi"/>
                <w:sz w:val="18"/>
                <w:szCs w:val="18"/>
              </w:rPr>
              <w:t xml:space="preserve">[...] enables the </w:t>
            </w:r>
            <w:r w:rsidRPr="004B6683">
              <w:rPr>
                <w:rFonts w:ascii="Calibri" w:hAnsi="Calibri" w:cs="Calibri"/>
                <w:b/>
                <w:sz w:val="18"/>
                <w:szCs w:val="18"/>
              </w:rPr>
              <w:t>real-time identification of supply chain interruptions</w:t>
            </w:r>
            <w:r w:rsidRPr="002B79C1">
              <w:rPr>
                <w:rFonts w:asciiTheme="minorHAnsi" w:hAnsiTheme="minorHAnsi" w:cstheme="minorHAnsi"/>
                <w:sz w:val="18"/>
                <w:szCs w:val="18"/>
              </w:rPr>
              <w:t xml:space="preserve"> by providing information about all steps of the process execution and triggering alerts in case of anomalies or deviations.</w:t>
            </w:r>
          </w:p>
        </w:tc>
      </w:tr>
      <w:tr w:rsidR="00C6090F" w:rsidRPr="002B79C1" w14:paraId="77BC49DE" w14:textId="77777777" w:rsidTr="007C57E6">
        <w:tc>
          <w:tcPr>
            <w:tcW w:w="283" w:type="dxa"/>
            <w:vMerge/>
            <w:tcBorders>
              <w:left w:val="nil"/>
              <w:bottom w:val="single" w:sz="4" w:space="0" w:color="auto"/>
              <w:right w:val="nil"/>
            </w:tcBorders>
            <w:tcMar>
              <w:top w:w="57" w:type="dxa"/>
              <w:bottom w:w="57" w:type="dxa"/>
            </w:tcMar>
            <w:vAlign w:val="center"/>
          </w:tcPr>
          <w:p w14:paraId="1982E499"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4D8879DA"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273001A8" w14:textId="7A4E4582" w:rsidR="00C6090F" w:rsidRPr="002B79C1" w:rsidRDefault="009D64C2"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Bowles and Lu (2014), Chung (2021), Coronado Mondragon et al. (2012), Fosso Wamba and Chatfield (2011), Ivanov et al. (2019), Kembro et al. (2017), Massimino et al. (2018), Nayernia et al. (2021), Oliveira and Handfield (2019), Oliveira-Dias et al. (2022), Park et al. (2021), PwC (2019)</w:t>
            </w:r>
          </w:p>
        </w:tc>
      </w:tr>
    </w:tbl>
    <w:p w14:paraId="083A3FD5" w14:textId="77777777" w:rsidR="00B41149" w:rsidRDefault="00B41149">
      <w:r>
        <w:br w:type="page"/>
      </w:r>
    </w:p>
    <w:tbl>
      <w:tblPr>
        <w:tblStyle w:val="TableGrid"/>
        <w:tblW w:w="9071" w:type="dxa"/>
        <w:tblCellMar>
          <w:top w:w="23" w:type="dxa"/>
          <w:left w:w="28" w:type="dxa"/>
          <w:bottom w:w="23" w:type="dxa"/>
          <w:right w:w="57" w:type="dxa"/>
        </w:tblCellMar>
        <w:tblLook w:val="04A0" w:firstRow="1" w:lastRow="0" w:firstColumn="1" w:lastColumn="0" w:noHBand="0" w:noVBand="1"/>
      </w:tblPr>
      <w:tblGrid>
        <w:gridCol w:w="283"/>
        <w:gridCol w:w="1844"/>
        <w:gridCol w:w="6944"/>
      </w:tblGrid>
      <w:tr w:rsidR="00C6090F" w:rsidRPr="002B79C1" w14:paraId="6B30181E" w14:textId="77777777" w:rsidTr="007C57E6">
        <w:tc>
          <w:tcPr>
            <w:tcW w:w="283" w:type="dxa"/>
            <w:vMerge w:val="restart"/>
            <w:tcBorders>
              <w:top w:val="single" w:sz="4" w:space="0" w:color="auto"/>
              <w:left w:val="nil"/>
              <w:right w:val="nil"/>
            </w:tcBorders>
            <w:tcMar>
              <w:top w:w="57" w:type="dxa"/>
              <w:bottom w:w="57" w:type="dxa"/>
            </w:tcMar>
            <w:vAlign w:val="center"/>
          </w:tcPr>
          <w:p w14:paraId="2BE979AB" w14:textId="69129064" w:rsidR="00C6090F" w:rsidRPr="002B79C1" w:rsidRDefault="00C6090F"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lastRenderedPageBreak/>
              <w:t>40</w:t>
            </w:r>
          </w:p>
          <w:p w14:paraId="36ED6931"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val="restart"/>
            <w:tcBorders>
              <w:top w:val="single" w:sz="4" w:space="0" w:color="auto"/>
              <w:left w:val="nil"/>
              <w:right w:val="nil"/>
            </w:tcBorders>
            <w:vAlign w:val="center"/>
          </w:tcPr>
          <w:p w14:paraId="4CE94EFF" w14:textId="649FBCC7" w:rsidR="00C6090F" w:rsidRPr="002B79C1" w:rsidRDefault="00C6090F" w:rsidP="00C6090F">
            <w:pPr>
              <w:spacing w:line="240" w:lineRule="auto"/>
              <w:rPr>
                <w:rFonts w:asciiTheme="minorHAnsi" w:hAnsiTheme="minorHAnsi" w:cstheme="minorHAnsi"/>
                <w:b/>
                <w:sz w:val="18"/>
                <w:szCs w:val="18"/>
                <w:lang w:eastAsia="de-DE"/>
              </w:rPr>
            </w:pPr>
            <w:r w:rsidRPr="002B79C1">
              <w:rPr>
                <w:rFonts w:asciiTheme="minorHAnsi" w:hAnsiTheme="minorHAnsi" w:cstheme="minorHAnsi"/>
                <w:b/>
                <w:sz w:val="18"/>
                <w:szCs w:val="18"/>
                <w:lang w:eastAsia="de-DE"/>
              </w:rPr>
              <w:t>Interruption</w:t>
            </w:r>
            <w:r w:rsidR="005174D8" w:rsidRPr="002B79C1">
              <w:rPr>
                <w:rFonts w:asciiTheme="minorHAnsi" w:hAnsiTheme="minorHAnsi" w:cstheme="minorHAnsi"/>
                <w:b/>
                <w:sz w:val="18"/>
                <w:szCs w:val="18"/>
                <w:lang w:eastAsia="de-DE"/>
              </w:rPr>
              <w:br/>
            </w:r>
            <w:r w:rsidRPr="002B79C1">
              <w:rPr>
                <w:rFonts w:asciiTheme="minorHAnsi" w:hAnsiTheme="minorHAnsi" w:cstheme="minorHAnsi"/>
                <w:b/>
                <w:sz w:val="18"/>
                <w:szCs w:val="18"/>
                <w:lang w:eastAsia="de-DE"/>
              </w:rPr>
              <w:t>Management</w:t>
            </w:r>
          </w:p>
        </w:tc>
        <w:tc>
          <w:tcPr>
            <w:tcW w:w="6944" w:type="dxa"/>
            <w:tcBorders>
              <w:left w:val="nil"/>
              <w:right w:val="nil"/>
            </w:tcBorders>
            <w:vAlign w:val="center"/>
          </w:tcPr>
          <w:p w14:paraId="664E76CA" w14:textId="21C656B3" w:rsidR="00C6090F" w:rsidRPr="002B79C1" w:rsidRDefault="00B613D2" w:rsidP="00C605D4">
            <w:pPr>
              <w:spacing w:line="240" w:lineRule="auto"/>
              <w:ind w:left="284" w:hanging="284"/>
              <w:contextualSpacing/>
              <w:rPr>
                <w:rFonts w:asciiTheme="minorHAnsi" w:hAnsiTheme="minorHAnsi" w:cstheme="minorHAnsi"/>
                <w:sz w:val="18"/>
                <w:szCs w:val="18"/>
              </w:rPr>
            </w:pPr>
            <w:r w:rsidRPr="002B79C1">
              <w:rPr>
                <w:rFonts w:asciiTheme="minorHAnsi" w:hAnsiTheme="minorHAnsi" w:cstheme="minorHAnsi"/>
                <w:sz w:val="18"/>
                <w:szCs w:val="18"/>
              </w:rPr>
              <w:t xml:space="preserve">[...] enables the </w:t>
            </w:r>
            <w:r w:rsidRPr="004B6683">
              <w:rPr>
                <w:rFonts w:ascii="Calibri" w:hAnsi="Calibri" w:cs="Calibri"/>
                <w:b/>
                <w:sz w:val="18"/>
                <w:szCs w:val="18"/>
              </w:rPr>
              <w:t>immediate adaptation to critical events</w:t>
            </w:r>
            <w:r w:rsidRPr="002B79C1">
              <w:rPr>
                <w:rFonts w:asciiTheme="minorHAnsi" w:hAnsiTheme="minorHAnsi" w:cstheme="minorHAnsi"/>
                <w:sz w:val="18"/>
                <w:szCs w:val="18"/>
              </w:rPr>
              <w:t xml:space="preserve"> (e.g., strikes, weather disasters, or accidents) by quickly extracting and analyzing information from reports and real-time data across the supply chain to deliver ad-hoc solution suggestions and prioritizing decisions to mitigate the impact of interruptions across the system.</w:t>
            </w:r>
          </w:p>
        </w:tc>
      </w:tr>
      <w:tr w:rsidR="00C6090F" w:rsidRPr="002B79C1" w14:paraId="77A46E8E" w14:textId="77777777" w:rsidTr="007C57E6">
        <w:tc>
          <w:tcPr>
            <w:tcW w:w="283" w:type="dxa"/>
            <w:vMerge/>
            <w:tcBorders>
              <w:left w:val="nil"/>
              <w:bottom w:val="single" w:sz="4" w:space="0" w:color="auto"/>
              <w:right w:val="nil"/>
            </w:tcBorders>
            <w:tcMar>
              <w:top w:w="57" w:type="dxa"/>
              <w:bottom w:w="57" w:type="dxa"/>
            </w:tcMar>
            <w:vAlign w:val="center"/>
          </w:tcPr>
          <w:p w14:paraId="715DCE1E"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36B95ACC"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5E7CDFD9" w14:textId="7BAABE1F" w:rsidR="00C6090F" w:rsidRPr="002B79C1" w:rsidRDefault="00B613D2"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Chung (2021), DHL and Detecon (2016), Fosso Wamba and Chatfield (2011), Oliveira and Handfield (2019), Oliveira-Dias et al. (2022), Park et al. (2021), PwC (2019), PwC (2020), Shu and Barton (2012), World Economic Forum and Accenture (2016)</w:t>
            </w:r>
          </w:p>
        </w:tc>
      </w:tr>
      <w:tr w:rsidR="00C6090F" w:rsidRPr="002B79C1" w14:paraId="77316276" w14:textId="77777777" w:rsidTr="007C57E6">
        <w:tc>
          <w:tcPr>
            <w:tcW w:w="283" w:type="dxa"/>
            <w:vMerge w:val="restart"/>
            <w:tcBorders>
              <w:top w:val="single" w:sz="4" w:space="0" w:color="auto"/>
              <w:left w:val="nil"/>
              <w:right w:val="nil"/>
            </w:tcBorders>
            <w:tcMar>
              <w:top w:w="57" w:type="dxa"/>
              <w:bottom w:w="57" w:type="dxa"/>
            </w:tcMar>
            <w:vAlign w:val="center"/>
          </w:tcPr>
          <w:p w14:paraId="2F1A36F4" w14:textId="77777777" w:rsidR="00C6090F" w:rsidRPr="002B79C1" w:rsidRDefault="00C6090F"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41</w:t>
            </w:r>
          </w:p>
        </w:tc>
        <w:tc>
          <w:tcPr>
            <w:tcW w:w="1844" w:type="dxa"/>
            <w:vMerge w:val="restart"/>
            <w:tcBorders>
              <w:top w:val="single" w:sz="4" w:space="0" w:color="auto"/>
              <w:left w:val="nil"/>
              <w:right w:val="nil"/>
            </w:tcBorders>
            <w:vAlign w:val="center"/>
          </w:tcPr>
          <w:p w14:paraId="1BBAF274" w14:textId="77777777" w:rsidR="00C6090F" w:rsidRPr="002B79C1" w:rsidRDefault="00C6090F" w:rsidP="00C6090F">
            <w:pPr>
              <w:spacing w:line="240" w:lineRule="auto"/>
              <w:rPr>
                <w:rFonts w:asciiTheme="minorHAnsi" w:hAnsiTheme="minorHAnsi" w:cstheme="minorHAnsi"/>
                <w:b/>
                <w:sz w:val="18"/>
                <w:szCs w:val="18"/>
                <w:lang w:eastAsia="de-DE"/>
              </w:rPr>
            </w:pPr>
            <w:r w:rsidRPr="002B79C1">
              <w:rPr>
                <w:rFonts w:asciiTheme="minorHAnsi" w:hAnsiTheme="minorHAnsi" w:cstheme="minorHAnsi"/>
                <w:b/>
                <w:sz w:val="18"/>
                <w:szCs w:val="18"/>
              </w:rPr>
              <w:t>Origin Tracing</w:t>
            </w:r>
          </w:p>
        </w:tc>
        <w:tc>
          <w:tcPr>
            <w:tcW w:w="6944" w:type="dxa"/>
            <w:tcBorders>
              <w:left w:val="nil"/>
              <w:right w:val="nil"/>
            </w:tcBorders>
            <w:vAlign w:val="center"/>
          </w:tcPr>
          <w:p w14:paraId="46D86898" w14:textId="30ACC987" w:rsidR="00C6090F" w:rsidRPr="002B79C1" w:rsidRDefault="00B613D2" w:rsidP="00C605D4">
            <w:pPr>
              <w:spacing w:line="240" w:lineRule="auto"/>
              <w:ind w:left="284" w:hanging="284"/>
              <w:contextualSpacing/>
              <w:rPr>
                <w:rFonts w:asciiTheme="minorHAnsi" w:hAnsiTheme="minorHAnsi" w:cstheme="minorHAnsi"/>
                <w:color w:val="000000"/>
                <w:sz w:val="18"/>
                <w:szCs w:val="18"/>
              </w:rPr>
            </w:pPr>
            <w:r w:rsidRPr="002B79C1">
              <w:rPr>
                <w:rFonts w:asciiTheme="minorHAnsi" w:hAnsiTheme="minorHAnsi" w:cstheme="minorHAnsi"/>
                <w:sz w:val="18"/>
                <w:szCs w:val="18"/>
              </w:rPr>
              <w:t xml:space="preserve">[...] enables the </w:t>
            </w:r>
            <w:r w:rsidRPr="004B6683">
              <w:rPr>
                <w:rFonts w:ascii="Calibri" w:hAnsi="Calibri" w:cs="Calibri"/>
                <w:b/>
                <w:sz w:val="18"/>
                <w:szCs w:val="18"/>
              </w:rPr>
              <w:t>traceability of the origin of goods</w:t>
            </w:r>
            <w:r w:rsidRPr="002B79C1">
              <w:rPr>
                <w:rFonts w:asciiTheme="minorHAnsi" w:hAnsiTheme="minorHAnsi" w:cstheme="minorHAnsi"/>
                <w:sz w:val="18"/>
                <w:szCs w:val="18"/>
              </w:rPr>
              <w:t xml:space="preserve"> by providing visible, accurate, and unalterable records of the journey from the origin of components through the process of manufacturing, distribution, and sale up to the consumer.</w:t>
            </w:r>
          </w:p>
        </w:tc>
      </w:tr>
      <w:tr w:rsidR="00C6090F" w:rsidRPr="002B79C1" w14:paraId="6C5C50F4" w14:textId="77777777" w:rsidTr="007C57E6">
        <w:tc>
          <w:tcPr>
            <w:tcW w:w="283" w:type="dxa"/>
            <w:vMerge/>
            <w:tcBorders>
              <w:left w:val="nil"/>
              <w:bottom w:val="single" w:sz="4" w:space="0" w:color="auto"/>
              <w:right w:val="nil"/>
            </w:tcBorders>
            <w:tcMar>
              <w:top w:w="57" w:type="dxa"/>
              <w:bottom w:w="57" w:type="dxa"/>
            </w:tcMar>
            <w:vAlign w:val="center"/>
          </w:tcPr>
          <w:p w14:paraId="00C38F51"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695DD597" w14:textId="77777777" w:rsidR="00C6090F" w:rsidRPr="002B79C1" w:rsidRDefault="00C6090F" w:rsidP="00C6090F">
            <w:pPr>
              <w:spacing w:line="240" w:lineRule="auto"/>
              <w:rPr>
                <w:rFonts w:asciiTheme="minorHAnsi" w:hAnsiTheme="minorHAnsi" w:cstheme="minorHAnsi"/>
                <w:b/>
                <w:sz w:val="18"/>
                <w:szCs w:val="18"/>
              </w:rPr>
            </w:pPr>
          </w:p>
        </w:tc>
        <w:tc>
          <w:tcPr>
            <w:tcW w:w="6944" w:type="dxa"/>
            <w:tcBorders>
              <w:left w:val="nil"/>
              <w:right w:val="nil"/>
            </w:tcBorders>
            <w:vAlign w:val="center"/>
          </w:tcPr>
          <w:p w14:paraId="27C930A7" w14:textId="09B8726A" w:rsidR="00C6090F" w:rsidRPr="002B79C1" w:rsidRDefault="00B613D2"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 xml:space="preserve">Bowles and Lu (2014), Capgemini Research Institute (2018), Cole et al. </w:t>
            </w:r>
            <w:r w:rsidRPr="002B79C1">
              <w:rPr>
                <w:rFonts w:asciiTheme="minorHAnsi" w:hAnsiTheme="minorHAnsi" w:cstheme="minorHAnsi"/>
                <w:color w:val="000000"/>
                <w:sz w:val="18"/>
                <w:szCs w:val="18"/>
                <w:lang w:val="de-DE"/>
              </w:rPr>
              <w:t xml:space="preserve">(2019), DHL and Detecon (2016), Fescioglu-Unver et al. (2015), Frank et al. (2019), Hahn (2020), Massimino et al. (2018), Meindl et al. (2021), Morenza-Cinos et al. (2019), Nayernia et al. (2021), Núñez-Merino et al. </w:t>
            </w:r>
            <w:r w:rsidRPr="002B79C1">
              <w:rPr>
                <w:rFonts w:asciiTheme="minorHAnsi" w:hAnsiTheme="minorHAnsi" w:cstheme="minorHAnsi"/>
                <w:color w:val="000000"/>
                <w:sz w:val="18"/>
                <w:szCs w:val="18"/>
              </w:rPr>
              <w:t>(2020), Oliveira-Dias et al. (2022), PwC (2019), Saberi et al. (2019), Y. Wang et al. (2019)</w:t>
            </w:r>
          </w:p>
        </w:tc>
      </w:tr>
      <w:tr w:rsidR="00C6090F" w:rsidRPr="002B79C1" w14:paraId="3BEFFBCD" w14:textId="77777777" w:rsidTr="007C57E6">
        <w:tc>
          <w:tcPr>
            <w:tcW w:w="283" w:type="dxa"/>
            <w:vMerge w:val="restart"/>
            <w:tcBorders>
              <w:top w:val="single" w:sz="4" w:space="0" w:color="auto"/>
              <w:left w:val="nil"/>
              <w:right w:val="nil"/>
            </w:tcBorders>
            <w:tcMar>
              <w:top w:w="57" w:type="dxa"/>
              <w:bottom w:w="57" w:type="dxa"/>
            </w:tcMar>
            <w:vAlign w:val="center"/>
          </w:tcPr>
          <w:p w14:paraId="2B2CB66D" w14:textId="146A925B" w:rsidR="00C6090F" w:rsidRPr="002B79C1" w:rsidRDefault="00C6090F"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42</w:t>
            </w:r>
          </w:p>
        </w:tc>
        <w:tc>
          <w:tcPr>
            <w:tcW w:w="1844" w:type="dxa"/>
            <w:vMerge w:val="restart"/>
            <w:tcBorders>
              <w:top w:val="single" w:sz="4" w:space="0" w:color="auto"/>
              <w:left w:val="nil"/>
              <w:right w:val="nil"/>
            </w:tcBorders>
            <w:vAlign w:val="center"/>
          </w:tcPr>
          <w:p w14:paraId="6D5F2ECA" w14:textId="77777777" w:rsidR="00C6090F" w:rsidRPr="002B79C1" w:rsidRDefault="00C6090F"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Risk Prevention</w:t>
            </w:r>
          </w:p>
        </w:tc>
        <w:tc>
          <w:tcPr>
            <w:tcW w:w="6944" w:type="dxa"/>
            <w:tcBorders>
              <w:left w:val="nil"/>
              <w:right w:val="nil"/>
            </w:tcBorders>
            <w:vAlign w:val="center"/>
          </w:tcPr>
          <w:p w14:paraId="59E4DC9B" w14:textId="05055440" w:rsidR="00C6090F" w:rsidRPr="002B79C1" w:rsidRDefault="00B613D2" w:rsidP="005E72DA">
            <w:pPr>
              <w:spacing w:line="240" w:lineRule="auto"/>
              <w:ind w:left="255" w:hanging="255"/>
              <w:contextualSpacing/>
              <w:rPr>
                <w:rFonts w:asciiTheme="minorHAnsi" w:hAnsiTheme="minorHAnsi" w:cstheme="minorHAnsi"/>
                <w:sz w:val="18"/>
                <w:szCs w:val="18"/>
              </w:rPr>
            </w:pPr>
            <w:r w:rsidRPr="002B79C1">
              <w:rPr>
                <w:rFonts w:asciiTheme="minorHAnsi" w:hAnsiTheme="minorHAnsi" w:cstheme="minorHAnsi"/>
                <w:sz w:val="18"/>
                <w:szCs w:val="18"/>
              </w:rPr>
              <w:t xml:space="preserve">[...] enables the </w:t>
            </w:r>
            <w:r w:rsidRPr="004B6683">
              <w:rPr>
                <w:rFonts w:asciiTheme="minorHAnsi" w:hAnsiTheme="minorHAnsi" w:cstheme="minorHAnsi"/>
                <w:b/>
                <w:sz w:val="18"/>
                <w:szCs w:val="18"/>
              </w:rPr>
              <w:t>anticipation, assessment, and mitigation of risks</w:t>
            </w:r>
            <w:r w:rsidRPr="002B79C1">
              <w:rPr>
                <w:rFonts w:asciiTheme="minorHAnsi" w:hAnsiTheme="minorHAnsi" w:cstheme="minorHAnsi"/>
                <w:sz w:val="18"/>
                <w:szCs w:val="18"/>
              </w:rPr>
              <w:t xml:space="preserve"> (e.g., in the form of synchronized contingency plans) by continuously monitoring supply chain performance and analyzing big data.</w:t>
            </w:r>
          </w:p>
        </w:tc>
      </w:tr>
      <w:tr w:rsidR="00C6090F" w:rsidRPr="002B79C1" w14:paraId="073B9F02" w14:textId="77777777" w:rsidTr="007C57E6">
        <w:tc>
          <w:tcPr>
            <w:tcW w:w="283" w:type="dxa"/>
            <w:vMerge/>
            <w:tcBorders>
              <w:left w:val="nil"/>
              <w:bottom w:val="single" w:sz="4" w:space="0" w:color="auto"/>
              <w:right w:val="nil"/>
            </w:tcBorders>
            <w:tcMar>
              <w:top w:w="57" w:type="dxa"/>
              <w:bottom w:w="57" w:type="dxa"/>
            </w:tcMar>
            <w:vAlign w:val="center"/>
          </w:tcPr>
          <w:p w14:paraId="66B386CB"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104705DF" w14:textId="77777777" w:rsidR="00C6090F" w:rsidRPr="002B79C1" w:rsidRDefault="00C6090F" w:rsidP="00C6090F">
            <w:pPr>
              <w:spacing w:line="240" w:lineRule="auto"/>
              <w:rPr>
                <w:rFonts w:asciiTheme="minorHAnsi" w:hAnsiTheme="minorHAnsi" w:cstheme="minorHAnsi"/>
                <w:b/>
                <w:sz w:val="18"/>
                <w:szCs w:val="18"/>
              </w:rPr>
            </w:pPr>
          </w:p>
        </w:tc>
        <w:tc>
          <w:tcPr>
            <w:tcW w:w="6944" w:type="dxa"/>
            <w:tcBorders>
              <w:left w:val="nil"/>
              <w:right w:val="nil"/>
            </w:tcBorders>
            <w:vAlign w:val="center"/>
          </w:tcPr>
          <w:p w14:paraId="456678F8" w14:textId="41C752FE" w:rsidR="00C6090F" w:rsidRPr="002B79C1" w:rsidRDefault="00B613D2"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Calatayud et al. (2019), Chung (2021), DHL and Detecon (2016), Frank et al. (2019), Hahn (2020), IBM and Celonis (2022), Ivanov et al. (2019), Kache and Seuring (2017), Nayernia et al. (2021), Oliveira-Dias et al. (2022), PwC (2020), PwC and Strategy&amp; (2016), Rejeb et al. (2021), Saberi et al. (2019), Shu and Barton (2012), Yang et al. (2021)</w:t>
            </w:r>
          </w:p>
        </w:tc>
      </w:tr>
      <w:tr w:rsidR="00C6090F" w:rsidRPr="002B79C1" w14:paraId="7806FC48" w14:textId="77777777" w:rsidTr="007C57E6">
        <w:tc>
          <w:tcPr>
            <w:tcW w:w="283" w:type="dxa"/>
            <w:vMerge w:val="restart"/>
            <w:tcBorders>
              <w:top w:val="single" w:sz="4" w:space="0" w:color="auto"/>
              <w:left w:val="nil"/>
              <w:right w:val="nil"/>
            </w:tcBorders>
            <w:tcMar>
              <w:top w:w="57" w:type="dxa"/>
              <w:bottom w:w="57" w:type="dxa"/>
            </w:tcMar>
            <w:vAlign w:val="center"/>
          </w:tcPr>
          <w:p w14:paraId="73C6BB0C" w14:textId="11C6F2FD" w:rsidR="00C6090F" w:rsidRPr="002B79C1" w:rsidRDefault="00C6090F"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43</w:t>
            </w:r>
          </w:p>
          <w:p w14:paraId="2A02C096"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val="restart"/>
            <w:tcBorders>
              <w:top w:val="single" w:sz="4" w:space="0" w:color="auto"/>
              <w:left w:val="nil"/>
              <w:right w:val="nil"/>
            </w:tcBorders>
            <w:vAlign w:val="center"/>
          </w:tcPr>
          <w:p w14:paraId="46A2F7DC" w14:textId="7EFFF7A2" w:rsidR="00C6090F" w:rsidRPr="002B79C1" w:rsidRDefault="00C6090F"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lang w:eastAsia="de-DE"/>
              </w:rPr>
              <w:t>Descriptive and</w:t>
            </w:r>
            <w:r w:rsidR="000012D9" w:rsidRPr="002B79C1">
              <w:rPr>
                <w:rFonts w:asciiTheme="minorHAnsi" w:hAnsiTheme="minorHAnsi" w:cstheme="minorHAnsi"/>
                <w:b/>
                <w:sz w:val="18"/>
                <w:szCs w:val="18"/>
                <w:lang w:eastAsia="de-DE"/>
              </w:rPr>
              <w:br/>
            </w:r>
            <w:r w:rsidRPr="002B79C1">
              <w:rPr>
                <w:rFonts w:asciiTheme="minorHAnsi" w:hAnsiTheme="minorHAnsi" w:cstheme="minorHAnsi"/>
                <w:b/>
                <w:sz w:val="18"/>
                <w:szCs w:val="18"/>
                <w:lang w:eastAsia="de-DE"/>
              </w:rPr>
              <w:t>Diagnostic Accuracy</w:t>
            </w:r>
          </w:p>
        </w:tc>
        <w:tc>
          <w:tcPr>
            <w:tcW w:w="6944" w:type="dxa"/>
            <w:tcBorders>
              <w:left w:val="nil"/>
              <w:right w:val="nil"/>
            </w:tcBorders>
            <w:vAlign w:val="center"/>
          </w:tcPr>
          <w:p w14:paraId="55C81629" w14:textId="2896C633" w:rsidR="00C6090F" w:rsidRPr="002B79C1" w:rsidRDefault="00B613D2" w:rsidP="005E72DA">
            <w:pPr>
              <w:spacing w:line="240" w:lineRule="auto"/>
              <w:ind w:left="255" w:hanging="255"/>
              <w:contextualSpacing/>
              <w:rPr>
                <w:rFonts w:asciiTheme="minorHAnsi" w:hAnsiTheme="minorHAnsi" w:cstheme="minorHAnsi"/>
                <w:color w:val="000000"/>
                <w:sz w:val="18"/>
                <w:szCs w:val="18"/>
              </w:rPr>
            </w:pPr>
            <w:r w:rsidRPr="002B79C1">
              <w:rPr>
                <w:rFonts w:asciiTheme="minorHAnsi" w:hAnsiTheme="minorHAnsi" w:cstheme="minorHAnsi"/>
                <w:sz w:val="18"/>
                <w:szCs w:val="18"/>
              </w:rPr>
              <w:t xml:space="preserve">[...] enables the </w:t>
            </w:r>
            <w:r w:rsidRPr="004B6683">
              <w:rPr>
                <w:rFonts w:asciiTheme="minorHAnsi" w:hAnsiTheme="minorHAnsi" w:cstheme="minorHAnsi"/>
                <w:b/>
                <w:sz w:val="18"/>
                <w:szCs w:val="18"/>
              </w:rPr>
              <w:t>improvement of descriptive and diagnostic capabilities</w:t>
            </w:r>
            <w:r w:rsidRPr="002B79C1">
              <w:rPr>
                <w:rFonts w:asciiTheme="minorHAnsi" w:hAnsiTheme="minorHAnsi" w:cstheme="minorHAnsi"/>
                <w:sz w:val="18"/>
                <w:szCs w:val="18"/>
              </w:rPr>
              <w:t xml:space="preserve"> to understand better performance drivers, impacts, and interactions within the supply chain by processing and analyzing large amounts of data from different sources and applying enhanced exploration and exploitation algorithms.</w:t>
            </w:r>
          </w:p>
        </w:tc>
      </w:tr>
      <w:tr w:rsidR="00C6090F" w:rsidRPr="002B79C1" w14:paraId="39DA2FD0" w14:textId="77777777" w:rsidTr="007C57E6">
        <w:tc>
          <w:tcPr>
            <w:tcW w:w="283" w:type="dxa"/>
            <w:vMerge/>
            <w:tcBorders>
              <w:left w:val="nil"/>
              <w:bottom w:val="single" w:sz="4" w:space="0" w:color="auto"/>
              <w:right w:val="nil"/>
            </w:tcBorders>
            <w:tcMar>
              <w:top w:w="57" w:type="dxa"/>
              <w:bottom w:w="57" w:type="dxa"/>
            </w:tcMar>
            <w:vAlign w:val="center"/>
          </w:tcPr>
          <w:p w14:paraId="19E18C6F"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7CD538FD"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4257B57C" w14:textId="18FB09F6" w:rsidR="00C6090F" w:rsidRPr="002B79C1" w:rsidRDefault="00B613D2"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Ardalan and Diaz (2012b), Calatayud et al. (2019), Chung (2021), DHL and Detecon (2016), Gartner (2022), Hahn (2020), Kache and Seuring (2017), Oliveira and Handfield (2019), PwC (2019), Rejeb et al. (2021), Sanders and Ganeshan (2018), Yang et al. (2021), Zheng et al. (2021), Zhong et al. (2015), Zhong et al. (2017)</w:t>
            </w:r>
          </w:p>
        </w:tc>
      </w:tr>
      <w:tr w:rsidR="00C6090F" w:rsidRPr="002B79C1" w14:paraId="4D09F5AD" w14:textId="77777777" w:rsidTr="007C57E6">
        <w:tc>
          <w:tcPr>
            <w:tcW w:w="283" w:type="dxa"/>
            <w:vMerge w:val="restart"/>
            <w:tcBorders>
              <w:top w:val="single" w:sz="4" w:space="0" w:color="auto"/>
              <w:left w:val="nil"/>
              <w:right w:val="nil"/>
            </w:tcBorders>
            <w:tcMar>
              <w:top w:w="57" w:type="dxa"/>
              <w:bottom w:w="57" w:type="dxa"/>
            </w:tcMar>
            <w:vAlign w:val="center"/>
          </w:tcPr>
          <w:p w14:paraId="6534660B" w14:textId="77777777" w:rsidR="00B613D2" w:rsidRDefault="00C6090F"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44</w:t>
            </w:r>
          </w:p>
          <w:p w14:paraId="62854D23" w14:textId="207FE301" w:rsidR="00C6090F" w:rsidRPr="002B79C1" w:rsidRDefault="00C6090F" w:rsidP="00C6090F">
            <w:pPr>
              <w:spacing w:line="240" w:lineRule="auto"/>
              <w:rPr>
                <w:rFonts w:asciiTheme="minorHAnsi" w:hAnsiTheme="minorHAnsi" w:cstheme="minorHAnsi"/>
                <w:b/>
                <w:sz w:val="18"/>
                <w:szCs w:val="18"/>
              </w:rPr>
            </w:pPr>
          </w:p>
        </w:tc>
        <w:tc>
          <w:tcPr>
            <w:tcW w:w="1844" w:type="dxa"/>
            <w:vMerge w:val="restart"/>
            <w:tcBorders>
              <w:top w:val="single" w:sz="4" w:space="0" w:color="auto"/>
              <w:left w:val="nil"/>
              <w:right w:val="nil"/>
            </w:tcBorders>
            <w:vAlign w:val="center"/>
          </w:tcPr>
          <w:p w14:paraId="2EED2A0F" w14:textId="3642172D" w:rsidR="00C6090F" w:rsidRPr="002B79C1" w:rsidRDefault="00C6090F" w:rsidP="00C6090F">
            <w:pPr>
              <w:spacing w:line="240" w:lineRule="auto"/>
              <w:rPr>
                <w:rFonts w:asciiTheme="minorHAnsi" w:hAnsiTheme="minorHAnsi" w:cstheme="minorHAnsi"/>
                <w:b/>
                <w:sz w:val="18"/>
                <w:szCs w:val="18"/>
                <w:lang w:eastAsia="de-DE"/>
              </w:rPr>
            </w:pPr>
            <w:r w:rsidRPr="002B79C1">
              <w:rPr>
                <w:rFonts w:asciiTheme="minorHAnsi" w:hAnsiTheme="minorHAnsi" w:cstheme="minorHAnsi"/>
                <w:b/>
                <w:sz w:val="18"/>
                <w:szCs w:val="18"/>
                <w:lang w:eastAsia="de-DE"/>
              </w:rPr>
              <w:t>Facility Planning</w:t>
            </w:r>
            <w:r w:rsidR="00243297">
              <w:rPr>
                <w:rFonts w:asciiTheme="minorHAnsi" w:hAnsiTheme="minorHAnsi" w:cstheme="minorHAnsi"/>
                <w:b/>
                <w:sz w:val="18"/>
                <w:szCs w:val="18"/>
                <w:lang w:eastAsia="de-DE"/>
              </w:rPr>
              <w:br/>
            </w:r>
            <w:r w:rsidRPr="002B79C1">
              <w:rPr>
                <w:rFonts w:asciiTheme="minorHAnsi" w:hAnsiTheme="minorHAnsi" w:cstheme="minorHAnsi"/>
                <w:b/>
                <w:sz w:val="18"/>
                <w:szCs w:val="18"/>
                <w:lang w:eastAsia="de-DE"/>
              </w:rPr>
              <w:t>Support</w:t>
            </w:r>
          </w:p>
        </w:tc>
        <w:tc>
          <w:tcPr>
            <w:tcW w:w="6944" w:type="dxa"/>
            <w:tcBorders>
              <w:left w:val="nil"/>
              <w:right w:val="nil"/>
            </w:tcBorders>
            <w:vAlign w:val="center"/>
          </w:tcPr>
          <w:p w14:paraId="6ED06D9C" w14:textId="3DD1DFF8" w:rsidR="00C6090F" w:rsidRPr="002B79C1" w:rsidRDefault="00B613D2" w:rsidP="005E72DA">
            <w:pPr>
              <w:spacing w:line="240" w:lineRule="auto"/>
              <w:ind w:left="255" w:hanging="255"/>
              <w:contextualSpacing/>
              <w:rPr>
                <w:rFonts w:asciiTheme="minorHAnsi" w:hAnsiTheme="minorHAnsi" w:cstheme="minorHAnsi"/>
                <w:color w:val="000000"/>
                <w:sz w:val="18"/>
                <w:szCs w:val="18"/>
              </w:rPr>
            </w:pPr>
            <w:r w:rsidRPr="002B79C1">
              <w:rPr>
                <w:rFonts w:asciiTheme="minorHAnsi" w:hAnsiTheme="minorHAnsi" w:cstheme="minorHAnsi"/>
                <w:sz w:val="18"/>
                <w:szCs w:val="18"/>
              </w:rPr>
              <w:t xml:space="preserve">[...] enables the </w:t>
            </w:r>
            <w:r w:rsidRPr="004B6683">
              <w:rPr>
                <w:rFonts w:asciiTheme="minorHAnsi" w:hAnsiTheme="minorHAnsi" w:cstheme="minorHAnsi"/>
                <w:b/>
                <w:sz w:val="18"/>
                <w:szCs w:val="18"/>
              </w:rPr>
              <w:t>support of the (re)organization of facilities</w:t>
            </w:r>
            <w:r w:rsidRPr="002B79C1">
              <w:rPr>
                <w:rFonts w:asciiTheme="minorHAnsi" w:hAnsiTheme="minorHAnsi" w:cstheme="minorHAnsi"/>
                <w:sz w:val="18"/>
                <w:szCs w:val="18"/>
              </w:rPr>
              <w:t xml:space="preserve"> (e.g., warehouse or production layout) by identifying and visualizing bottlenecks and movement patterns as well as testing and evaluating alternative processes and workflows.</w:t>
            </w:r>
          </w:p>
        </w:tc>
      </w:tr>
      <w:tr w:rsidR="00C6090F" w:rsidRPr="002B79C1" w14:paraId="2CDDEE52" w14:textId="77777777" w:rsidTr="007C57E6">
        <w:tc>
          <w:tcPr>
            <w:tcW w:w="283" w:type="dxa"/>
            <w:vMerge/>
            <w:tcBorders>
              <w:left w:val="nil"/>
              <w:bottom w:val="single" w:sz="4" w:space="0" w:color="auto"/>
              <w:right w:val="nil"/>
            </w:tcBorders>
            <w:tcMar>
              <w:top w:w="57" w:type="dxa"/>
              <w:bottom w:w="57" w:type="dxa"/>
            </w:tcMar>
            <w:vAlign w:val="center"/>
          </w:tcPr>
          <w:p w14:paraId="11DB338D"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215561B2"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661ACAAB" w14:textId="1A5A4D81" w:rsidR="00C6090F" w:rsidRPr="002B79C1" w:rsidRDefault="00B613D2"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Coelho et al. (2021), DHL and Z_punkt (2014), Dolgui and Ivanov (2022), Kembro et al. (2017), Nayernia et al. (2021), PwC (2020), Rejeb et al. (2021), Yang et al. (2021)</w:t>
            </w:r>
          </w:p>
        </w:tc>
      </w:tr>
      <w:tr w:rsidR="00C6090F" w:rsidRPr="002B79C1" w14:paraId="7A0EA960" w14:textId="77777777" w:rsidTr="007C57E6">
        <w:tc>
          <w:tcPr>
            <w:tcW w:w="283" w:type="dxa"/>
            <w:vMerge w:val="restart"/>
            <w:tcBorders>
              <w:top w:val="single" w:sz="4" w:space="0" w:color="auto"/>
              <w:left w:val="nil"/>
              <w:right w:val="nil"/>
            </w:tcBorders>
            <w:tcMar>
              <w:top w:w="57" w:type="dxa"/>
              <w:bottom w:w="57" w:type="dxa"/>
            </w:tcMar>
            <w:vAlign w:val="center"/>
          </w:tcPr>
          <w:p w14:paraId="5EDFD3BE" w14:textId="40042EDF" w:rsidR="00C6090F" w:rsidRPr="002B79C1" w:rsidRDefault="00C6090F"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45</w:t>
            </w:r>
          </w:p>
        </w:tc>
        <w:tc>
          <w:tcPr>
            <w:tcW w:w="1844" w:type="dxa"/>
            <w:vMerge w:val="restart"/>
            <w:tcBorders>
              <w:top w:val="single" w:sz="4" w:space="0" w:color="auto"/>
              <w:left w:val="nil"/>
              <w:right w:val="nil"/>
            </w:tcBorders>
            <w:vAlign w:val="center"/>
          </w:tcPr>
          <w:p w14:paraId="4BCAFB83" w14:textId="77777777" w:rsidR="00C6090F" w:rsidRPr="002B79C1" w:rsidRDefault="00C6090F" w:rsidP="00C6090F">
            <w:pPr>
              <w:spacing w:line="240" w:lineRule="auto"/>
              <w:rPr>
                <w:rFonts w:asciiTheme="minorHAnsi" w:hAnsiTheme="minorHAnsi" w:cstheme="minorHAnsi"/>
                <w:b/>
                <w:sz w:val="18"/>
                <w:szCs w:val="18"/>
                <w:lang w:eastAsia="de-DE"/>
              </w:rPr>
            </w:pPr>
            <w:r w:rsidRPr="002B79C1">
              <w:rPr>
                <w:rFonts w:asciiTheme="minorHAnsi" w:hAnsiTheme="minorHAnsi" w:cstheme="minorHAnsi"/>
                <w:b/>
                <w:sz w:val="18"/>
                <w:szCs w:val="18"/>
                <w:lang w:eastAsia="de-DE"/>
              </w:rPr>
              <w:t>Knowledge Discovery</w:t>
            </w:r>
          </w:p>
        </w:tc>
        <w:tc>
          <w:tcPr>
            <w:tcW w:w="6944" w:type="dxa"/>
            <w:tcBorders>
              <w:left w:val="nil"/>
              <w:right w:val="nil"/>
            </w:tcBorders>
            <w:vAlign w:val="center"/>
          </w:tcPr>
          <w:p w14:paraId="699AFDFC" w14:textId="56A7F6E9" w:rsidR="00C6090F" w:rsidRPr="002B79C1" w:rsidRDefault="00B613D2" w:rsidP="005E72DA">
            <w:pPr>
              <w:spacing w:line="240" w:lineRule="auto"/>
              <w:ind w:left="255" w:hanging="255"/>
              <w:contextualSpacing/>
              <w:rPr>
                <w:rFonts w:asciiTheme="minorHAnsi" w:hAnsiTheme="minorHAnsi" w:cstheme="minorHAnsi"/>
                <w:color w:val="000000"/>
                <w:sz w:val="18"/>
                <w:szCs w:val="18"/>
              </w:rPr>
            </w:pPr>
            <w:r w:rsidRPr="002B79C1">
              <w:rPr>
                <w:rFonts w:asciiTheme="minorHAnsi" w:hAnsiTheme="minorHAnsi" w:cstheme="minorHAnsi"/>
                <w:sz w:val="18"/>
                <w:szCs w:val="18"/>
              </w:rPr>
              <w:t xml:space="preserve">[...] enables the </w:t>
            </w:r>
            <w:r w:rsidRPr="004B6683">
              <w:rPr>
                <w:rFonts w:asciiTheme="minorHAnsi" w:hAnsiTheme="minorHAnsi" w:cstheme="minorHAnsi"/>
                <w:b/>
                <w:sz w:val="18"/>
                <w:szCs w:val="18"/>
              </w:rPr>
              <w:t>extraction of knowledge from big data</w:t>
            </w:r>
            <w:r w:rsidRPr="002B79C1">
              <w:rPr>
                <w:rFonts w:asciiTheme="minorHAnsi" w:hAnsiTheme="minorHAnsi" w:cstheme="minorHAnsi"/>
                <w:sz w:val="18"/>
                <w:szCs w:val="18"/>
              </w:rPr>
              <w:t xml:space="preserve"> by mining information (e.g., micro- or macro-level patterns) from internal and external data sources.</w:t>
            </w:r>
          </w:p>
        </w:tc>
      </w:tr>
      <w:tr w:rsidR="00C6090F" w:rsidRPr="002B79C1" w14:paraId="54797C45" w14:textId="77777777" w:rsidTr="007C57E6">
        <w:tc>
          <w:tcPr>
            <w:tcW w:w="283" w:type="dxa"/>
            <w:vMerge/>
            <w:tcBorders>
              <w:left w:val="nil"/>
              <w:bottom w:val="single" w:sz="4" w:space="0" w:color="auto"/>
              <w:right w:val="nil"/>
            </w:tcBorders>
            <w:tcMar>
              <w:top w:w="57" w:type="dxa"/>
              <w:bottom w:w="57" w:type="dxa"/>
            </w:tcMar>
            <w:vAlign w:val="center"/>
          </w:tcPr>
          <w:p w14:paraId="155B47D4"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69DF491C"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6A97969A" w14:textId="1E5529E5" w:rsidR="00C6090F" w:rsidRPr="002B79C1" w:rsidRDefault="00B613D2"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Ardalan and Diaz (2012b), DHL and Detecon (2016) DHL and IBM (2018), Dolgui and Ivanov (2022), Frank et al. (2019), IBM and Celonis (2022), Kache and Seuring (2017), Nayernia et al. (2021), PwC (2017), PwC (2020), World Economic Forum and Accenture (2016), Yang et al. (2021), Zhong et al. (2015)</w:t>
            </w:r>
          </w:p>
        </w:tc>
      </w:tr>
      <w:tr w:rsidR="00C6090F" w:rsidRPr="002B79C1" w14:paraId="095EE06B" w14:textId="77777777" w:rsidTr="007C57E6">
        <w:tc>
          <w:tcPr>
            <w:tcW w:w="283" w:type="dxa"/>
            <w:vMerge w:val="restart"/>
            <w:tcBorders>
              <w:top w:val="single" w:sz="4" w:space="0" w:color="auto"/>
              <w:left w:val="nil"/>
              <w:right w:val="nil"/>
            </w:tcBorders>
            <w:tcMar>
              <w:top w:w="57" w:type="dxa"/>
              <w:bottom w:w="57" w:type="dxa"/>
            </w:tcMar>
            <w:vAlign w:val="center"/>
          </w:tcPr>
          <w:p w14:paraId="41C3529E" w14:textId="51E0E74B" w:rsidR="00C6090F" w:rsidRPr="002B79C1" w:rsidRDefault="00C6090F" w:rsidP="00C6090F">
            <w:pPr>
              <w:spacing w:line="240" w:lineRule="auto"/>
              <w:rPr>
                <w:rFonts w:asciiTheme="minorHAnsi" w:hAnsiTheme="minorHAnsi" w:cstheme="minorHAnsi"/>
                <w:b/>
                <w:sz w:val="18"/>
                <w:szCs w:val="18"/>
              </w:rPr>
            </w:pPr>
            <w:r w:rsidRPr="002B79C1">
              <w:rPr>
                <w:rFonts w:asciiTheme="minorHAnsi" w:hAnsiTheme="minorHAnsi" w:cstheme="minorHAnsi"/>
                <w:b/>
                <w:sz w:val="18"/>
                <w:szCs w:val="18"/>
              </w:rPr>
              <w:t>46</w:t>
            </w:r>
          </w:p>
          <w:p w14:paraId="7D456218"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val="restart"/>
            <w:tcBorders>
              <w:top w:val="single" w:sz="4" w:space="0" w:color="auto"/>
              <w:left w:val="nil"/>
              <w:right w:val="nil"/>
            </w:tcBorders>
            <w:vAlign w:val="center"/>
          </w:tcPr>
          <w:p w14:paraId="69D125BB" w14:textId="02A32245" w:rsidR="00C6090F" w:rsidRPr="002B79C1" w:rsidRDefault="00C6090F" w:rsidP="00C6090F">
            <w:pPr>
              <w:spacing w:line="240" w:lineRule="auto"/>
              <w:rPr>
                <w:rFonts w:asciiTheme="minorHAnsi" w:hAnsiTheme="minorHAnsi" w:cstheme="minorHAnsi"/>
                <w:b/>
                <w:sz w:val="18"/>
                <w:szCs w:val="18"/>
                <w:lang w:eastAsia="de-DE"/>
              </w:rPr>
            </w:pPr>
            <w:r w:rsidRPr="002B79C1">
              <w:rPr>
                <w:rFonts w:asciiTheme="minorHAnsi" w:hAnsiTheme="minorHAnsi" w:cstheme="minorHAnsi"/>
                <w:b/>
                <w:sz w:val="18"/>
                <w:szCs w:val="18"/>
                <w:lang w:eastAsia="de-DE"/>
              </w:rPr>
              <w:t>Predictive and</w:t>
            </w:r>
            <w:r w:rsidR="000012D9" w:rsidRPr="002B79C1">
              <w:rPr>
                <w:rFonts w:asciiTheme="minorHAnsi" w:hAnsiTheme="minorHAnsi" w:cstheme="minorHAnsi"/>
                <w:b/>
                <w:sz w:val="18"/>
                <w:szCs w:val="18"/>
                <w:lang w:eastAsia="de-DE"/>
              </w:rPr>
              <w:br/>
            </w:r>
            <w:r w:rsidRPr="002B79C1">
              <w:rPr>
                <w:rFonts w:asciiTheme="minorHAnsi" w:hAnsiTheme="minorHAnsi" w:cstheme="minorHAnsi"/>
                <w:b/>
                <w:sz w:val="18"/>
                <w:szCs w:val="18"/>
                <w:lang w:eastAsia="de-DE"/>
              </w:rPr>
              <w:t>Prescriptive Accuracy</w:t>
            </w:r>
          </w:p>
        </w:tc>
        <w:tc>
          <w:tcPr>
            <w:tcW w:w="6944" w:type="dxa"/>
            <w:tcBorders>
              <w:left w:val="nil"/>
              <w:right w:val="nil"/>
            </w:tcBorders>
            <w:vAlign w:val="center"/>
          </w:tcPr>
          <w:p w14:paraId="275BD749" w14:textId="36C062CE" w:rsidR="00C6090F" w:rsidRPr="002B79C1" w:rsidRDefault="00B613D2" w:rsidP="005E72DA">
            <w:pPr>
              <w:spacing w:line="240" w:lineRule="auto"/>
              <w:ind w:left="255" w:hanging="255"/>
              <w:contextualSpacing/>
              <w:rPr>
                <w:rFonts w:asciiTheme="minorHAnsi" w:hAnsiTheme="minorHAnsi" w:cstheme="minorHAnsi"/>
                <w:color w:val="000000"/>
                <w:sz w:val="18"/>
                <w:szCs w:val="18"/>
              </w:rPr>
            </w:pPr>
            <w:r w:rsidRPr="002B79C1">
              <w:rPr>
                <w:rFonts w:asciiTheme="minorHAnsi" w:hAnsiTheme="minorHAnsi" w:cstheme="minorHAnsi"/>
                <w:sz w:val="18"/>
                <w:szCs w:val="18"/>
              </w:rPr>
              <w:t xml:space="preserve">[...] enables the </w:t>
            </w:r>
            <w:r w:rsidRPr="004B6683">
              <w:rPr>
                <w:rFonts w:asciiTheme="minorHAnsi" w:hAnsiTheme="minorHAnsi" w:cstheme="minorHAnsi"/>
                <w:b/>
                <w:sz w:val="18"/>
                <w:szCs w:val="18"/>
              </w:rPr>
              <w:t>improvement of predictive and prescriptive capabilities</w:t>
            </w:r>
            <w:r w:rsidRPr="002B79C1">
              <w:rPr>
                <w:rFonts w:asciiTheme="minorHAnsi" w:hAnsiTheme="minorHAnsi" w:cstheme="minorHAnsi"/>
                <w:sz w:val="18"/>
                <w:szCs w:val="18"/>
              </w:rPr>
              <w:t xml:space="preserve"> for proactive action by modeling future scenarios and calculating upcoming changes that affect logistics processes (e.g., supply shortages, demand fluctuations).</w:t>
            </w:r>
          </w:p>
        </w:tc>
      </w:tr>
      <w:tr w:rsidR="00C6090F" w:rsidRPr="002B79C1" w14:paraId="164EDDC8" w14:textId="77777777" w:rsidTr="007C57E6">
        <w:tc>
          <w:tcPr>
            <w:tcW w:w="283" w:type="dxa"/>
            <w:vMerge/>
            <w:tcBorders>
              <w:left w:val="nil"/>
              <w:bottom w:val="single" w:sz="4" w:space="0" w:color="auto"/>
              <w:right w:val="nil"/>
            </w:tcBorders>
            <w:tcMar>
              <w:top w:w="57" w:type="dxa"/>
              <w:bottom w:w="57" w:type="dxa"/>
            </w:tcMar>
            <w:vAlign w:val="center"/>
          </w:tcPr>
          <w:p w14:paraId="406BD994" w14:textId="77777777" w:rsidR="00C6090F" w:rsidRPr="002B79C1" w:rsidRDefault="00C6090F" w:rsidP="00C6090F">
            <w:pPr>
              <w:spacing w:line="240" w:lineRule="auto"/>
              <w:rPr>
                <w:rFonts w:asciiTheme="minorHAnsi" w:hAnsiTheme="minorHAnsi" w:cstheme="minorHAnsi"/>
                <w:b/>
                <w:sz w:val="18"/>
                <w:szCs w:val="18"/>
              </w:rPr>
            </w:pPr>
          </w:p>
        </w:tc>
        <w:tc>
          <w:tcPr>
            <w:tcW w:w="1844" w:type="dxa"/>
            <w:vMerge/>
            <w:tcBorders>
              <w:left w:val="nil"/>
              <w:bottom w:val="single" w:sz="4" w:space="0" w:color="auto"/>
              <w:right w:val="nil"/>
            </w:tcBorders>
            <w:vAlign w:val="center"/>
          </w:tcPr>
          <w:p w14:paraId="0486E0BB" w14:textId="77777777" w:rsidR="00C6090F" w:rsidRPr="002B79C1" w:rsidRDefault="00C6090F" w:rsidP="00C6090F">
            <w:pPr>
              <w:spacing w:line="240" w:lineRule="auto"/>
              <w:rPr>
                <w:rFonts w:asciiTheme="minorHAnsi" w:hAnsiTheme="minorHAnsi" w:cstheme="minorHAnsi"/>
                <w:b/>
                <w:sz w:val="18"/>
                <w:szCs w:val="18"/>
                <w:lang w:eastAsia="de-DE"/>
              </w:rPr>
            </w:pPr>
          </w:p>
        </w:tc>
        <w:tc>
          <w:tcPr>
            <w:tcW w:w="6944" w:type="dxa"/>
            <w:tcBorders>
              <w:left w:val="nil"/>
              <w:right w:val="nil"/>
            </w:tcBorders>
            <w:vAlign w:val="center"/>
          </w:tcPr>
          <w:p w14:paraId="445BF18F" w14:textId="4D4770F2" w:rsidR="00C6090F" w:rsidRPr="002B79C1" w:rsidRDefault="00B613D2" w:rsidP="00C6090F">
            <w:pPr>
              <w:spacing w:line="240" w:lineRule="auto"/>
              <w:rPr>
                <w:rFonts w:asciiTheme="minorHAnsi" w:hAnsiTheme="minorHAnsi" w:cstheme="minorHAnsi"/>
                <w:color w:val="000000"/>
                <w:sz w:val="18"/>
                <w:szCs w:val="18"/>
              </w:rPr>
            </w:pPr>
            <w:r w:rsidRPr="002B79C1">
              <w:rPr>
                <w:rFonts w:asciiTheme="minorHAnsi" w:hAnsiTheme="minorHAnsi" w:cstheme="minorHAnsi"/>
                <w:color w:val="000000"/>
                <w:sz w:val="18"/>
                <w:szCs w:val="18"/>
              </w:rPr>
              <w:t>Bain &amp; Company (2018), Calatayud et al. (2019), DHL and Detecon (2016), DHL and IBM (2018), Dolgui and Ivanov (2022), Döppner et al. (2016), Gartner (2022), Hahn (2020), Kache and Seuring (2017), Park et al. (2021), PwC (2019), PwC and Strategy&amp; (2016), Sanders and Ganeshan (2018), World Economic Forum and Accenture (2016), Yang et al. (2021), Zheng et al. (2021)</w:t>
            </w:r>
          </w:p>
        </w:tc>
      </w:tr>
    </w:tbl>
    <w:p w14:paraId="287EF873" w14:textId="77777777" w:rsidR="006C5DA6" w:rsidRDefault="006C5DA6" w:rsidP="006C5DA6"/>
    <w:sdt>
      <w:sdtPr>
        <w:rPr>
          <w:rFonts w:ascii="Times New Roman" w:hAnsi="Times New Roman" w:cstheme="minorHAnsi"/>
          <w:b w:val="0"/>
          <w:bCs w:val="0"/>
          <w:kern w:val="0"/>
          <w:sz w:val="20"/>
          <w:szCs w:val="24"/>
        </w:rPr>
        <w:tag w:val="CitaviBibliography"/>
        <w:id w:val="347380078"/>
        <w:placeholder>
          <w:docPart w:val="1CAFC28C9EC247F5AE554E0EF0509E85"/>
        </w:placeholder>
      </w:sdtPr>
      <w:sdtEndPr>
        <w:rPr>
          <w:rFonts w:asciiTheme="minorHAnsi" w:hAnsiTheme="minorHAnsi"/>
        </w:rPr>
      </w:sdtEndPr>
      <w:sdtContent>
        <w:p w14:paraId="04C21C1F" w14:textId="77777777" w:rsidR="00FA26CE" w:rsidRDefault="00FA26CE" w:rsidP="00FA26CE">
          <w:pPr>
            <w:pStyle w:val="CitaviBibliographyHeading"/>
            <w:spacing w:before="0" w:after="0" w:line="240" w:lineRule="auto"/>
            <w:rPr>
              <w:rFonts w:cstheme="minorHAnsi"/>
            </w:rPr>
          </w:pPr>
          <w:r w:rsidRPr="002C4D6B">
            <w:rPr>
              <w:rFonts w:cstheme="minorHAnsi"/>
            </w:rPr>
            <w:fldChar w:fldCharType="begin"/>
          </w:r>
          <w:r w:rsidRPr="002C4D6B">
            <w:rPr>
              <w:rFonts w:cstheme="minorHAnsi"/>
            </w:rPr>
            <w:instrText>ADDIN CitaviBibliography</w:instrText>
          </w:r>
          <w:r w:rsidRPr="002C4D6B">
            <w:rPr>
              <w:rFonts w:cstheme="minorHAnsi"/>
            </w:rPr>
            <w:fldChar w:fldCharType="separate"/>
          </w:r>
          <w:r w:rsidRPr="002C4D6B">
            <w:rPr>
              <w:rFonts w:cstheme="minorHAnsi"/>
            </w:rPr>
            <w:t>References</w:t>
          </w:r>
        </w:p>
        <w:p w14:paraId="25BD7289" w14:textId="77777777" w:rsidR="00FA26CE" w:rsidRPr="002C4D6B" w:rsidRDefault="00FA26CE" w:rsidP="00FA26CE">
          <w:pPr>
            <w:pStyle w:val="CitaviBibliographyHeading"/>
            <w:spacing w:before="0" w:after="0" w:line="240" w:lineRule="auto"/>
            <w:rPr>
              <w:rFonts w:cstheme="minorHAnsi"/>
            </w:rPr>
          </w:pPr>
        </w:p>
        <w:p w14:paraId="6FDFAEC1" w14:textId="77777777" w:rsidR="00FA26CE" w:rsidRPr="002C4D6B" w:rsidRDefault="00FA26CE" w:rsidP="00FA26CE">
          <w:pPr>
            <w:pStyle w:val="CitaviBibliographyEntry"/>
            <w:spacing w:line="240" w:lineRule="auto"/>
            <w:rPr>
              <w:rFonts w:cstheme="minorHAnsi"/>
            </w:rPr>
          </w:pPr>
          <w:bookmarkStart w:id="0" w:name="_CTVL00150796fd409d84ab0998a2f95aa0aaa59"/>
          <w:r w:rsidRPr="002C4D6B">
            <w:rPr>
              <w:rFonts w:cstheme="minorHAnsi"/>
            </w:rPr>
            <w:t>Ardalan, A., &amp; Diaz, R. (2012a). An Evaluation of the NERJIT Priority Rule in a Kanban-Controlled Flowshop.</w:t>
          </w:r>
          <w:bookmarkEnd w:id="0"/>
          <w:r w:rsidRPr="002C4D6B">
            <w:rPr>
              <w:rFonts w:cstheme="minorHAnsi"/>
            </w:rPr>
            <w:t xml:space="preserve"> </w:t>
          </w:r>
          <w:r w:rsidRPr="002C4D6B">
            <w:rPr>
              <w:rFonts w:cstheme="minorHAnsi"/>
              <w:i/>
            </w:rPr>
            <w:t>Production and Operations Management</w:t>
          </w:r>
          <w:r w:rsidRPr="002C4D6B">
            <w:rPr>
              <w:rFonts w:cstheme="minorHAnsi"/>
            </w:rPr>
            <w:t xml:space="preserve">, </w:t>
          </w:r>
          <w:r w:rsidRPr="002C4D6B">
            <w:rPr>
              <w:rFonts w:cstheme="minorHAnsi"/>
              <w:i/>
            </w:rPr>
            <w:t>21</w:t>
          </w:r>
          <w:r w:rsidRPr="002C4D6B">
            <w:rPr>
              <w:rFonts w:cstheme="minorHAnsi"/>
            </w:rPr>
            <w:t>(5), 923–938. https://doi.org/10.1111/j.1937-5956.2012.01323.x</w:t>
          </w:r>
        </w:p>
        <w:p w14:paraId="73401520" w14:textId="77777777" w:rsidR="00FA26CE" w:rsidRPr="002C4D6B" w:rsidRDefault="00FA26CE" w:rsidP="00FA26CE">
          <w:pPr>
            <w:pStyle w:val="CitaviBibliographyEntry"/>
            <w:spacing w:line="240" w:lineRule="auto"/>
            <w:rPr>
              <w:rFonts w:cstheme="minorHAnsi"/>
            </w:rPr>
          </w:pPr>
          <w:bookmarkStart w:id="1" w:name="_CTVL001c669d92e554f4c4485ac676b389b5645"/>
          <w:r w:rsidRPr="002C4D6B">
            <w:rPr>
              <w:rFonts w:cstheme="minorHAnsi"/>
            </w:rPr>
            <w:t>Ardalan, A., &amp; Diaz, R. (2012b). NERJIT: Using Net Requirement Data in Kanban-Controlled Jumbled-Flow Shops.</w:t>
          </w:r>
          <w:bookmarkEnd w:id="1"/>
          <w:r w:rsidRPr="002C4D6B">
            <w:rPr>
              <w:rFonts w:cstheme="minorHAnsi"/>
            </w:rPr>
            <w:t xml:space="preserve"> </w:t>
          </w:r>
          <w:r w:rsidRPr="002C4D6B">
            <w:rPr>
              <w:rFonts w:cstheme="minorHAnsi"/>
              <w:i/>
            </w:rPr>
            <w:t>Production and Operations Management</w:t>
          </w:r>
          <w:r w:rsidRPr="002C4D6B">
            <w:rPr>
              <w:rFonts w:cstheme="minorHAnsi"/>
            </w:rPr>
            <w:t xml:space="preserve">, </w:t>
          </w:r>
          <w:r w:rsidRPr="002C4D6B">
            <w:rPr>
              <w:rFonts w:cstheme="minorHAnsi"/>
              <w:i/>
            </w:rPr>
            <w:t>21</w:t>
          </w:r>
          <w:r w:rsidRPr="002C4D6B">
            <w:rPr>
              <w:rFonts w:cstheme="minorHAnsi"/>
            </w:rPr>
            <w:t>(3), 606–618. https://doi.org/10.1111/j.1937-5956.2011.01268.x</w:t>
          </w:r>
        </w:p>
        <w:p w14:paraId="7C7765EE" w14:textId="77777777" w:rsidR="00FA26CE" w:rsidRPr="002C4D6B" w:rsidRDefault="00FA26CE" w:rsidP="00FA26CE">
          <w:pPr>
            <w:pStyle w:val="CitaviBibliographyEntry"/>
            <w:spacing w:line="240" w:lineRule="auto"/>
            <w:rPr>
              <w:rFonts w:cstheme="minorHAnsi"/>
              <w:i/>
            </w:rPr>
          </w:pPr>
          <w:bookmarkStart w:id="2" w:name="_CTVL0014625f5fc2948478da5d3edcb7edc12be"/>
          <w:r w:rsidRPr="002C4D6B">
            <w:rPr>
              <w:rFonts w:cstheme="minorHAnsi"/>
            </w:rPr>
            <w:t>Arthur D. Little. (2017).</w:t>
          </w:r>
          <w:bookmarkEnd w:id="2"/>
          <w:r w:rsidRPr="002C4D6B">
            <w:rPr>
              <w:rFonts w:cstheme="minorHAnsi"/>
            </w:rPr>
            <w:t xml:space="preserve"> </w:t>
          </w:r>
          <w:r w:rsidRPr="002C4D6B">
            <w:rPr>
              <w:rFonts w:cstheme="minorHAnsi"/>
              <w:i/>
            </w:rPr>
            <w:t xml:space="preserve">Logistics 4.0 - Facing digitalisation-driven disruption. </w:t>
          </w:r>
        </w:p>
        <w:p w14:paraId="0B8E5EAA" w14:textId="77777777" w:rsidR="00FA26CE" w:rsidRPr="002C4D6B" w:rsidRDefault="00FA26CE" w:rsidP="00FA26CE">
          <w:pPr>
            <w:pStyle w:val="CitaviBibliographyEntry"/>
            <w:spacing w:line="240" w:lineRule="auto"/>
            <w:rPr>
              <w:rFonts w:cstheme="minorHAnsi"/>
            </w:rPr>
          </w:pPr>
          <w:bookmarkStart w:id="3" w:name="_CTVL00180cfb55cf33c4cf8bcd5681d60670936"/>
          <w:r w:rsidRPr="002C4D6B">
            <w:rPr>
              <w:rFonts w:cstheme="minorHAnsi"/>
            </w:rPr>
            <w:t>Ba, S., &amp; Nault, B. R. (2017). Emergent Themes in the Interface Between Economics of Information Systems and Management of Technology.</w:t>
          </w:r>
          <w:bookmarkEnd w:id="3"/>
          <w:r w:rsidRPr="002C4D6B">
            <w:rPr>
              <w:rFonts w:cstheme="minorHAnsi"/>
            </w:rPr>
            <w:t xml:space="preserve"> </w:t>
          </w:r>
          <w:r w:rsidRPr="002C4D6B">
            <w:rPr>
              <w:rFonts w:cstheme="minorHAnsi"/>
              <w:i/>
            </w:rPr>
            <w:t>Production and Operations Management</w:t>
          </w:r>
          <w:r w:rsidRPr="002C4D6B">
            <w:rPr>
              <w:rFonts w:cstheme="minorHAnsi"/>
            </w:rPr>
            <w:t xml:space="preserve">, </w:t>
          </w:r>
          <w:r w:rsidRPr="002C4D6B">
            <w:rPr>
              <w:rFonts w:cstheme="minorHAnsi"/>
              <w:i/>
            </w:rPr>
            <w:t>26</w:t>
          </w:r>
          <w:r w:rsidRPr="002C4D6B">
            <w:rPr>
              <w:rFonts w:cstheme="minorHAnsi"/>
            </w:rPr>
            <w:t>(4), 652–666. https://doi.org/10.1111/poms.12644</w:t>
          </w:r>
        </w:p>
        <w:p w14:paraId="6FD25554" w14:textId="77777777" w:rsidR="00FA26CE" w:rsidRPr="002C4D6B" w:rsidRDefault="00FA26CE" w:rsidP="00FA26CE">
          <w:pPr>
            <w:pStyle w:val="CitaviBibliographyEntry"/>
            <w:spacing w:line="240" w:lineRule="auto"/>
            <w:rPr>
              <w:rFonts w:cstheme="minorHAnsi"/>
              <w:i/>
            </w:rPr>
          </w:pPr>
          <w:bookmarkStart w:id="4" w:name="_CTVL001071cbf2c39154e73811d6f3451c4ae57"/>
          <w:r w:rsidRPr="002C4D6B">
            <w:rPr>
              <w:rFonts w:cstheme="minorHAnsi"/>
            </w:rPr>
            <w:t>Bain &amp; Company. (2018).</w:t>
          </w:r>
          <w:bookmarkEnd w:id="4"/>
          <w:r w:rsidRPr="002C4D6B">
            <w:rPr>
              <w:rFonts w:cstheme="minorHAnsi"/>
            </w:rPr>
            <w:t xml:space="preserve"> </w:t>
          </w:r>
          <w:r w:rsidRPr="002C4D6B">
            <w:rPr>
              <w:rFonts w:cstheme="minorHAnsi"/>
              <w:i/>
            </w:rPr>
            <w:t xml:space="preserve">Is Your Supply Chain Ready for Alexa? Artificial Intelligence? Autonomous Vehicles? Winning brands will rebuild their supply chains for three hugely disruptive technologies. </w:t>
          </w:r>
        </w:p>
        <w:p w14:paraId="732072D8" w14:textId="77777777" w:rsidR="00FA26CE" w:rsidRPr="002C4D6B" w:rsidRDefault="00FA26CE" w:rsidP="00FA26CE">
          <w:pPr>
            <w:pStyle w:val="CitaviBibliographyEntry"/>
            <w:spacing w:line="240" w:lineRule="auto"/>
            <w:rPr>
              <w:rFonts w:cstheme="minorHAnsi"/>
            </w:rPr>
          </w:pPr>
          <w:bookmarkStart w:id="5" w:name="_CTVL00166414abdff7f4cc6b251f1bccf9f6ada"/>
          <w:r w:rsidRPr="002C4D6B">
            <w:rPr>
              <w:rFonts w:cstheme="minorHAnsi"/>
              <w:lang w:val="en-US"/>
            </w:rPr>
            <w:t xml:space="preserve">Berkemeier, L., Zobel, B., Werning, S., Ickerott, I., &amp; Thomas, O. (2019). </w:t>
          </w:r>
          <w:r w:rsidRPr="002C4D6B">
            <w:rPr>
              <w:rFonts w:cstheme="minorHAnsi"/>
            </w:rPr>
            <w:t>Engineering of Augmented Reality-Based Information Systems.</w:t>
          </w:r>
          <w:bookmarkEnd w:id="5"/>
          <w:r w:rsidRPr="002C4D6B">
            <w:rPr>
              <w:rFonts w:cstheme="minorHAnsi"/>
            </w:rPr>
            <w:t xml:space="preserve"> </w:t>
          </w:r>
          <w:r w:rsidRPr="002C4D6B">
            <w:rPr>
              <w:rFonts w:cstheme="minorHAnsi"/>
              <w:i/>
            </w:rPr>
            <w:t>Business &amp; Information Systems Engineering</w:t>
          </w:r>
          <w:r w:rsidRPr="002C4D6B">
            <w:rPr>
              <w:rFonts w:cstheme="minorHAnsi"/>
            </w:rPr>
            <w:t xml:space="preserve">, </w:t>
          </w:r>
          <w:r w:rsidRPr="002C4D6B">
            <w:rPr>
              <w:rFonts w:cstheme="minorHAnsi"/>
              <w:i/>
            </w:rPr>
            <w:t>61</w:t>
          </w:r>
          <w:r w:rsidRPr="002C4D6B">
            <w:rPr>
              <w:rFonts w:cstheme="minorHAnsi"/>
            </w:rPr>
            <w:t>(1), 67–89. https://doi.org/10.1007/s12599-019-00575-6</w:t>
          </w:r>
        </w:p>
        <w:p w14:paraId="3EE2C7EC" w14:textId="77777777" w:rsidR="00FA26CE" w:rsidRPr="002C4D6B" w:rsidRDefault="00FA26CE" w:rsidP="00FA26CE">
          <w:pPr>
            <w:pStyle w:val="CitaviBibliographyEntry"/>
            <w:spacing w:line="240" w:lineRule="auto"/>
            <w:rPr>
              <w:rFonts w:cstheme="minorHAnsi"/>
            </w:rPr>
          </w:pPr>
          <w:bookmarkStart w:id="6" w:name="_CTVL001310f42736d5349528974e250e1b23a26"/>
          <w:r w:rsidRPr="002C4D6B">
            <w:rPr>
              <w:rFonts w:cstheme="minorHAnsi"/>
            </w:rPr>
            <w:t>Bhakoo, V., Singh, P. J., &amp; Chia, A. (2015). Supply chain structures shaping portfolio of technologies.</w:t>
          </w:r>
          <w:bookmarkEnd w:id="6"/>
          <w:r w:rsidRPr="002C4D6B">
            <w:rPr>
              <w:rFonts w:cstheme="minorHAnsi"/>
            </w:rPr>
            <w:t xml:space="preserve"> </w:t>
          </w:r>
          <w:r w:rsidRPr="002C4D6B">
            <w:rPr>
              <w:rFonts w:cstheme="minorHAnsi"/>
              <w:i/>
            </w:rPr>
            <w:t>International Journal of Physical Distribution &amp; Logistics Management</w:t>
          </w:r>
          <w:r w:rsidRPr="002C4D6B">
            <w:rPr>
              <w:rFonts w:cstheme="minorHAnsi"/>
            </w:rPr>
            <w:t xml:space="preserve">, </w:t>
          </w:r>
          <w:r w:rsidRPr="002C4D6B">
            <w:rPr>
              <w:rFonts w:cstheme="minorHAnsi"/>
              <w:i/>
            </w:rPr>
            <w:t>45</w:t>
          </w:r>
          <w:r w:rsidRPr="002C4D6B">
            <w:rPr>
              <w:rFonts w:cstheme="minorHAnsi"/>
            </w:rPr>
            <w:t>(4), 376–399. https://doi.org/10.1108/IJPDLM-12-2014-0298</w:t>
          </w:r>
        </w:p>
        <w:p w14:paraId="1D1C8187" w14:textId="77777777" w:rsidR="00FA26CE" w:rsidRPr="002C4D6B" w:rsidRDefault="00FA26CE" w:rsidP="00FA26CE">
          <w:pPr>
            <w:pStyle w:val="CitaviBibliographyEntry"/>
            <w:spacing w:line="240" w:lineRule="auto"/>
            <w:rPr>
              <w:rFonts w:cstheme="minorHAnsi"/>
            </w:rPr>
          </w:pPr>
          <w:bookmarkStart w:id="7" w:name="_CTVL0018ff1d7b51ea1482b9bdd076ed0df6c60"/>
          <w:r w:rsidRPr="002C4D6B">
            <w:rPr>
              <w:rFonts w:cstheme="minorHAnsi"/>
            </w:rPr>
            <w:t>Bhandal, R., Meriton, R., Kavanagh, R. E., &amp; Brown, A. (2022). The application of digital twin technology in operations and supply chain management: a bibliometric review.</w:t>
          </w:r>
          <w:bookmarkEnd w:id="7"/>
          <w:r w:rsidRPr="002C4D6B">
            <w:rPr>
              <w:rFonts w:cstheme="minorHAnsi"/>
            </w:rPr>
            <w:t xml:space="preserve"> </w:t>
          </w:r>
          <w:r w:rsidRPr="002C4D6B">
            <w:rPr>
              <w:rFonts w:cstheme="minorHAnsi"/>
              <w:i/>
            </w:rPr>
            <w:t>Supply Chain Management: An International Journal</w:t>
          </w:r>
          <w:r w:rsidRPr="002C4D6B">
            <w:rPr>
              <w:rFonts w:cstheme="minorHAnsi"/>
            </w:rPr>
            <w:t xml:space="preserve">, </w:t>
          </w:r>
          <w:r w:rsidRPr="002C4D6B">
            <w:rPr>
              <w:rFonts w:cstheme="minorHAnsi"/>
              <w:i/>
            </w:rPr>
            <w:t>27</w:t>
          </w:r>
          <w:r w:rsidRPr="002C4D6B">
            <w:rPr>
              <w:rFonts w:cstheme="minorHAnsi"/>
            </w:rPr>
            <w:t>(2), 182–206. https://doi.org/10.1108/SCM-01-2021-0053</w:t>
          </w:r>
        </w:p>
        <w:p w14:paraId="69A1D4E2" w14:textId="77777777" w:rsidR="00FA26CE" w:rsidRPr="002C4D6B" w:rsidRDefault="00FA26CE" w:rsidP="00FA26CE">
          <w:pPr>
            <w:pStyle w:val="CitaviBibliographyEntry"/>
            <w:spacing w:line="240" w:lineRule="auto"/>
            <w:rPr>
              <w:rFonts w:cstheme="minorHAnsi"/>
            </w:rPr>
          </w:pPr>
          <w:bookmarkStart w:id="8" w:name="_CTVL0015f0728bc2b6e42118e66a7b524751cf5"/>
          <w:r w:rsidRPr="002C4D6B">
            <w:rPr>
              <w:rFonts w:cstheme="minorHAnsi"/>
            </w:rPr>
            <w:t>Bogataj, D., Bogataj, M., &amp; Hudoklin, D. (2017). Mitigating risks of perishable products in the cyber-physical systems based on the extended MRP model.</w:t>
          </w:r>
          <w:bookmarkEnd w:id="8"/>
          <w:r w:rsidRPr="002C4D6B">
            <w:rPr>
              <w:rFonts w:cstheme="minorHAnsi"/>
            </w:rPr>
            <w:t xml:space="preserve"> </w:t>
          </w:r>
          <w:r w:rsidRPr="002C4D6B">
            <w:rPr>
              <w:rFonts w:cstheme="minorHAnsi"/>
              <w:i/>
            </w:rPr>
            <w:t>International Journal of Production Economics</w:t>
          </w:r>
          <w:r w:rsidRPr="002C4D6B">
            <w:rPr>
              <w:rFonts w:cstheme="minorHAnsi"/>
            </w:rPr>
            <w:t xml:space="preserve">, </w:t>
          </w:r>
          <w:r w:rsidRPr="002C4D6B">
            <w:rPr>
              <w:rFonts w:cstheme="minorHAnsi"/>
              <w:i/>
            </w:rPr>
            <w:t>193</w:t>
          </w:r>
          <w:r w:rsidRPr="002C4D6B">
            <w:rPr>
              <w:rFonts w:cstheme="minorHAnsi"/>
            </w:rPr>
            <w:t>, 51–62. https://doi.org/10.1016/j.ijpe.2017.06.028</w:t>
          </w:r>
        </w:p>
        <w:p w14:paraId="0070CED4" w14:textId="77777777" w:rsidR="00FA26CE" w:rsidRPr="002C4D6B" w:rsidRDefault="00FA26CE" w:rsidP="00FA26CE">
          <w:pPr>
            <w:pStyle w:val="CitaviBibliographyEntry"/>
            <w:spacing w:line="240" w:lineRule="auto"/>
            <w:rPr>
              <w:rFonts w:cstheme="minorHAnsi"/>
            </w:rPr>
          </w:pPr>
          <w:bookmarkStart w:id="9" w:name="_CTVL001f1c85cd8ef414df8b31323ee98adf178"/>
          <w:r w:rsidRPr="002C4D6B">
            <w:rPr>
              <w:rFonts w:cstheme="minorHAnsi"/>
            </w:rPr>
            <w:t>Bowles, M., &amp; Lu, J. (2014). Removing the blinders: A literature review on the potential of nanoscale technologies for the management of supply chains.</w:t>
          </w:r>
          <w:bookmarkEnd w:id="9"/>
          <w:r w:rsidRPr="002C4D6B">
            <w:rPr>
              <w:rFonts w:cstheme="minorHAnsi"/>
            </w:rPr>
            <w:t xml:space="preserve"> </w:t>
          </w:r>
          <w:r w:rsidRPr="002C4D6B">
            <w:rPr>
              <w:rFonts w:cstheme="minorHAnsi"/>
              <w:i/>
            </w:rPr>
            <w:t>Technological Forecasting and Social Change</w:t>
          </w:r>
          <w:r w:rsidRPr="002C4D6B">
            <w:rPr>
              <w:rFonts w:cstheme="minorHAnsi"/>
            </w:rPr>
            <w:t xml:space="preserve">, </w:t>
          </w:r>
          <w:r w:rsidRPr="002C4D6B">
            <w:rPr>
              <w:rFonts w:cstheme="minorHAnsi"/>
              <w:i/>
            </w:rPr>
            <w:t>82</w:t>
          </w:r>
          <w:r w:rsidRPr="002C4D6B">
            <w:rPr>
              <w:rFonts w:cstheme="minorHAnsi"/>
            </w:rPr>
            <w:t>, 190–198. https://doi.org/10.1016/j.techfore.2013.10.017</w:t>
          </w:r>
        </w:p>
        <w:p w14:paraId="02BB3DA3" w14:textId="77777777" w:rsidR="00FA26CE" w:rsidRPr="002C4D6B" w:rsidRDefault="00FA26CE" w:rsidP="00FA26CE">
          <w:pPr>
            <w:pStyle w:val="CitaviBibliographyEntry"/>
            <w:spacing w:line="240" w:lineRule="auto"/>
            <w:rPr>
              <w:rFonts w:cstheme="minorHAnsi"/>
            </w:rPr>
          </w:pPr>
          <w:bookmarkStart w:id="10" w:name="_CTVL0018f83f6695b104c65ac9e5b53aeab207a"/>
          <w:r w:rsidRPr="002C4D6B">
            <w:rPr>
              <w:rFonts w:cstheme="minorHAnsi"/>
            </w:rPr>
            <w:t>Calatayud, A., Mangan, J., &amp; Christopher, M. (2019). The self-thinking supply chain.</w:t>
          </w:r>
          <w:bookmarkEnd w:id="10"/>
          <w:r w:rsidRPr="002C4D6B">
            <w:rPr>
              <w:rFonts w:cstheme="minorHAnsi"/>
            </w:rPr>
            <w:t xml:space="preserve"> </w:t>
          </w:r>
          <w:r w:rsidRPr="002C4D6B">
            <w:rPr>
              <w:rFonts w:cstheme="minorHAnsi"/>
              <w:i/>
            </w:rPr>
            <w:t>Supply Chain Management: An International Journal</w:t>
          </w:r>
          <w:r w:rsidRPr="002C4D6B">
            <w:rPr>
              <w:rFonts w:cstheme="minorHAnsi"/>
            </w:rPr>
            <w:t xml:space="preserve">, </w:t>
          </w:r>
          <w:r w:rsidRPr="002C4D6B">
            <w:rPr>
              <w:rFonts w:cstheme="minorHAnsi"/>
              <w:i/>
            </w:rPr>
            <w:t>24</w:t>
          </w:r>
          <w:r w:rsidRPr="002C4D6B">
            <w:rPr>
              <w:rFonts w:cstheme="minorHAnsi"/>
            </w:rPr>
            <w:t>(1), 22–38. https://doi.org/10.1108/SCM-03-2018-0136</w:t>
          </w:r>
        </w:p>
        <w:p w14:paraId="6438468B" w14:textId="77777777" w:rsidR="00FA26CE" w:rsidRPr="002C4D6B" w:rsidRDefault="00FA26CE" w:rsidP="00FA26CE">
          <w:pPr>
            <w:pStyle w:val="CitaviBibliographyEntry"/>
            <w:spacing w:line="240" w:lineRule="auto"/>
            <w:rPr>
              <w:rFonts w:cstheme="minorHAnsi"/>
              <w:i/>
            </w:rPr>
          </w:pPr>
          <w:bookmarkStart w:id="11" w:name="_CTVL001b69abaf620a745fd81c8a68f1fac7360"/>
          <w:r w:rsidRPr="002C4D6B">
            <w:rPr>
              <w:rFonts w:cstheme="minorHAnsi"/>
            </w:rPr>
            <w:t>Capgemini Consulting. (2011).</w:t>
          </w:r>
          <w:bookmarkEnd w:id="11"/>
          <w:r w:rsidRPr="002C4D6B">
            <w:rPr>
              <w:rFonts w:cstheme="minorHAnsi"/>
            </w:rPr>
            <w:t xml:space="preserve"> </w:t>
          </w:r>
          <w:r w:rsidRPr="002C4D6B">
            <w:rPr>
              <w:rFonts w:cstheme="minorHAnsi"/>
              <w:i/>
            </w:rPr>
            <w:t xml:space="preserve">Digital Transformation of Supply Chains: Creating Value - When Digital Meets Physical. </w:t>
          </w:r>
        </w:p>
        <w:p w14:paraId="5DF72DE7" w14:textId="77777777" w:rsidR="00FA26CE" w:rsidRPr="002C4D6B" w:rsidRDefault="00FA26CE" w:rsidP="00FA26CE">
          <w:pPr>
            <w:pStyle w:val="CitaviBibliographyEntry"/>
            <w:spacing w:line="240" w:lineRule="auto"/>
            <w:rPr>
              <w:rFonts w:cstheme="minorHAnsi"/>
              <w:i/>
            </w:rPr>
          </w:pPr>
          <w:bookmarkStart w:id="12" w:name="_CTVL001290408f684f94b9391901f923c19c001"/>
          <w:r w:rsidRPr="002C4D6B">
            <w:rPr>
              <w:rFonts w:cstheme="minorHAnsi"/>
            </w:rPr>
            <w:t>Capgemini Research Institute. (2018).</w:t>
          </w:r>
          <w:bookmarkEnd w:id="12"/>
          <w:r w:rsidRPr="002C4D6B">
            <w:rPr>
              <w:rFonts w:cstheme="minorHAnsi"/>
            </w:rPr>
            <w:t xml:space="preserve"> </w:t>
          </w:r>
          <w:r w:rsidRPr="002C4D6B">
            <w:rPr>
              <w:rFonts w:cstheme="minorHAnsi"/>
              <w:i/>
            </w:rPr>
            <w:t xml:space="preserve">Does blockchain hold the key to a new age of supply chain transparency and trust? How organizations have moved from blockchain hype to reality. </w:t>
          </w:r>
        </w:p>
        <w:p w14:paraId="6EA8DB9E" w14:textId="77777777" w:rsidR="00FA26CE" w:rsidRPr="002C4D6B" w:rsidRDefault="00FA26CE" w:rsidP="00FA26CE">
          <w:pPr>
            <w:pStyle w:val="CitaviBibliographyEntry"/>
            <w:spacing w:line="240" w:lineRule="auto"/>
            <w:rPr>
              <w:rFonts w:cstheme="minorHAnsi"/>
            </w:rPr>
          </w:pPr>
          <w:bookmarkStart w:id="13" w:name="_CTVL0017640924aa16d434db7ebea436c7c3adc"/>
          <w:r w:rsidRPr="002C4D6B">
            <w:rPr>
              <w:rFonts w:cstheme="minorHAnsi"/>
            </w:rPr>
            <w:t>Chou, Y.</w:t>
          </w:r>
          <w:r w:rsidRPr="002C4D6B">
            <w:rPr>
              <w:rFonts w:ascii="Cambria Math" w:hAnsi="Cambria Math" w:cs="Cambria Math"/>
            </w:rPr>
            <w:t>‑</w:t>
          </w:r>
          <w:r w:rsidRPr="002C4D6B">
            <w:rPr>
              <w:rFonts w:cstheme="minorHAnsi"/>
            </w:rPr>
            <w:t>C., Chen, Y.</w:t>
          </w:r>
          <w:r w:rsidRPr="002C4D6B">
            <w:rPr>
              <w:rFonts w:ascii="Cambria Math" w:hAnsi="Cambria Math" w:cs="Cambria Math"/>
            </w:rPr>
            <w:t>‑</w:t>
          </w:r>
          <w:r w:rsidRPr="002C4D6B">
            <w:rPr>
              <w:rFonts w:cstheme="minorHAnsi"/>
            </w:rPr>
            <w:t>H., &amp; Chen, H.</w:t>
          </w:r>
          <w:r w:rsidRPr="002C4D6B">
            <w:rPr>
              <w:rFonts w:ascii="Cambria Math" w:hAnsi="Cambria Math" w:cs="Cambria Math"/>
            </w:rPr>
            <w:t>‑</w:t>
          </w:r>
          <w:r w:rsidRPr="002C4D6B">
            <w:rPr>
              <w:rFonts w:cstheme="minorHAnsi"/>
            </w:rPr>
            <w:t>M. (2012). Recency-based storage assignment and warehouse configuration for recurrent demands.</w:t>
          </w:r>
          <w:bookmarkEnd w:id="13"/>
          <w:r w:rsidRPr="002C4D6B">
            <w:rPr>
              <w:rFonts w:cstheme="minorHAnsi"/>
            </w:rPr>
            <w:t xml:space="preserve"> </w:t>
          </w:r>
          <w:r w:rsidRPr="002C4D6B">
            <w:rPr>
              <w:rFonts w:cstheme="minorHAnsi"/>
              <w:i/>
            </w:rPr>
            <w:t>Computers &amp; Industrial Engineering</w:t>
          </w:r>
          <w:r w:rsidRPr="002C4D6B">
            <w:rPr>
              <w:rFonts w:cstheme="minorHAnsi"/>
            </w:rPr>
            <w:t xml:space="preserve">, </w:t>
          </w:r>
          <w:r w:rsidRPr="002C4D6B">
            <w:rPr>
              <w:rFonts w:cstheme="minorHAnsi"/>
              <w:i/>
            </w:rPr>
            <w:t>62</w:t>
          </w:r>
          <w:r w:rsidRPr="002C4D6B">
            <w:rPr>
              <w:rFonts w:cstheme="minorHAnsi"/>
            </w:rPr>
            <w:t>(4), 880–889. https://doi.org/10.1016/j.cie.2011.12.009</w:t>
          </w:r>
        </w:p>
        <w:p w14:paraId="5EFE4165" w14:textId="77777777" w:rsidR="00FA26CE" w:rsidRPr="002C4D6B" w:rsidRDefault="00FA26CE" w:rsidP="00FA26CE">
          <w:pPr>
            <w:pStyle w:val="CitaviBibliographyEntry"/>
            <w:spacing w:line="240" w:lineRule="auto"/>
            <w:rPr>
              <w:rFonts w:cstheme="minorHAnsi"/>
            </w:rPr>
          </w:pPr>
          <w:bookmarkStart w:id="14" w:name="_CTVL001695531f8affb41e3bd4e03cf57fba362"/>
          <w:r w:rsidRPr="002C4D6B">
            <w:rPr>
              <w:rFonts w:cstheme="minorHAnsi"/>
            </w:rPr>
            <w:t>Chung, S.</w:t>
          </w:r>
          <w:r w:rsidRPr="002C4D6B">
            <w:rPr>
              <w:rFonts w:ascii="Cambria Math" w:hAnsi="Cambria Math" w:cs="Cambria Math"/>
            </w:rPr>
            <w:t>‑</w:t>
          </w:r>
          <w:r w:rsidRPr="002C4D6B">
            <w:rPr>
              <w:rFonts w:cstheme="minorHAnsi"/>
            </w:rPr>
            <w:t>H. (2021). Applications of smart technologies in logistics and transport: A review.</w:t>
          </w:r>
          <w:bookmarkEnd w:id="14"/>
          <w:r w:rsidRPr="002C4D6B">
            <w:rPr>
              <w:rFonts w:cstheme="minorHAnsi"/>
            </w:rPr>
            <w:t xml:space="preserve"> </w:t>
          </w:r>
          <w:r w:rsidRPr="002C4D6B">
            <w:rPr>
              <w:rFonts w:cstheme="minorHAnsi"/>
              <w:i/>
            </w:rPr>
            <w:t>Transportation Research Part E: Logistics and Transportation Review</w:t>
          </w:r>
          <w:r w:rsidRPr="002C4D6B">
            <w:rPr>
              <w:rFonts w:cstheme="minorHAnsi"/>
            </w:rPr>
            <w:t xml:space="preserve">, </w:t>
          </w:r>
          <w:r w:rsidRPr="002C4D6B">
            <w:rPr>
              <w:rFonts w:cstheme="minorHAnsi"/>
              <w:i/>
            </w:rPr>
            <w:t>153</w:t>
          </w:r>
          <w:r w:rsidRPr="002C4D6B">
            <w:rPr>
              <w:rFonts w:cstheme="minorHAnsi"/>
            </w:rPr>
            <w:t>, 102455. https://doi.org/10.1016/j.tre.2021.102455</w:t>
          </w:r>
        </w:p>
        <w:p w14:paraId="5B1FA96A" w14:textId="77777777" w:rsidR="00FA26CE" w:rsidRPr="002C4D6B" w:rsidRDefault="00FA26CE" w:rsidP="00FA26CE">
          <w:pPr>
            <w:pStyle w:val="CitaviBibliographyEntry"/>
            <w:spacing w:line="240" w:lineRule="auto"/>
            <w:rPr>
              <w:rFonts w:cstheme="minorHAnsi"/>
            </w:rPr>
          </w:pPr>
          <w:bookmarkStart w:id="15" w:name="_CTVL0017e34332fd67b41298a529a2d54b88af2"/>
          <w:r w:rsidRPr="002C4D6B">
            <w:rPr>
              <w:rFonts w:cstheme="minorHAnsi"/>
            </w:rPr>
            <w:t>Coelho, F., Relvas, S., &amp; Barbosa-Póvoa, A. P. (2021). Simulation-based decision support tool for in-house logistics: the basis for a digital twin.</w:t>
          </w:r>
          <w:bookmarkEnd w:id="15"/>
          <w:r w:rsidRPr="002C4D6B">
            <w:rPr>
              <w:rFonts w:cstheme="minorHAnsi"/>
            </w:rPr>
            <w:t xml:space="preserve"> </w:t>
          </w:r>
          <w:r w:rsidRPr="002C4D6B">
            <w:rPr>
              <w:rFonts w:cstheme="minorHAnsi"/>
              <w:i/>
            </w:rPr>
            <w:t>Computers &amp; Industrial Engineering</w:t>
          </w:r>
          <w:r w:rsidRPr="002C4D6B">
            <w:rPr>
              <w:rFonts w:cstheme="minorHAnsi"/>
            </w:rPr>
            <w:t xml:space="preserve">, </w:t>
          </w:r>
          <w:r w:rsidRPr="002C4D6B">
            <w:rPr>
              <w:rFonts w:cstheme="minorHAnsi"/>
              <w:i/>
            </w:rPr>
            <w:t>153</w:t>
          </w:r>
          <w:r w:rsidRPr="002C4D6B">
            <w:rPr>
              <w:rFonts w:cstheme="minorHAnsi"/>
            </w:rPr>
            <w:t>, 107094. https://doi.org/10.1016/j.cie.2020.107094</w:t>
          </w:r>
        </w:p>
        <w:p w14:paraId="68B32CA9" w14:textId="77777777" w:rsidR="00FA26CE" w:rsidRPr="002C4D6B" w:rsidRDefault="00FA26CE" w:rsidP="00FA26CE">
          <w:pPr>
            <w:pStyle w:val="CitaviBibliographyEntry"/>
            <w:spacing w:line="240" w:lineRule="auto"/>
            <w:rPr>
              <w:rFonts w:cstheme="minorHAnsi"/>
            </w:rPr>
          </w:pPr>
          <w:bookmarkStart w:id="16" w:name="_CTVL0011a7973f04a464b0a8d4b19f8826559bd"/>
          <w:r w:rsidRPr="002C4D6B">
            <w:rPr>
              <w:rFonts w:cstheme="minorHAnsi"/>
            </w:rPr>
            <w:t>Cole, R., Stevenson, M., &amp; Aitken, J. (2019). Blockchain technology: implications for operations and supply chain management.</w:t>
          </w:r>
          <w:bookmarkEnd w:id="16"/>
          <w:r w:rsidRPr="002C4D6B">
            <w:rPr>
              <w:rFonts w:cstheme="minorHAnsi"/>
            </w:rPr>
            <w:t xml:space="preserve"> </w:t>
          </w:r>
          <w:r w:rsidRPr="002C4D6B">
            <w:rPr>
              <w:rFonts w:cstheme="minorHAnsi"/>
              <w:i/>
            </w:rPr>
            <w:t>Supply Chain Management: An International Journal</w:t>
          </w:r>
          <w:r w:rsidRPr="002C4D6B">
            <w:rPr>
              <w:rFonts w:cstheme="minorHAnsi"/>
            </w:rPr>
            <w:t xml:space="preserve">, </w:t>
          </w:r>
          <w:r w:rsidRPr="002C4D6B">
            <w:rPr>
              <w:rFonts w:cstheme="minorHAnsi"/>
              <w:i/>
            </w:rPr>
            <w:t>24</w:t>
          </w:r>
          <w:r w:rsidRPr="002C4D6B">
            <w:rPr>
              <w:rFonts w:cstheme="minorHAnsi"/>
            </w:rPr>
            <w:t>(4), 469–483. https://doi.org/10.1108/SCM-09-2018-0309</w:t>
          </w:r>
        </w:p>
        <w:p w14:paraId="3CC5317A" w14:textId="77777777" w:rsidR="00FA26CE" w:rsidRPr="002C4D6B" w:rsidRDefault="00FA26CE" w:rsidP="00FA26CE">
          <w:pPr>
            <w:pStyle w:val="CitaviBibliographyEntry"/>
            <w:spacing w:line="240" w:lineRule="auto"/>
            <w:rPr>
              <w:rFonts w:cstheme="minorHAnsi"/>
            </w:rPr>
          </w:pPr>
          <w:bookmarkStart w:id="17" w:name="_CTVL001b774a6d5944349d7844a95f628cbb41e"/>
          <w:r w:rsidRPr="002C4D6B">
            <w:rPr>
              <w:rFonts w:cstheme="minorHAnsi"/>
            </w:rPr>
            <w:t>Coronado Mondragon, A. E., Coronado Mondragon, C. E., &amp; Coronado, E. S. (2017). ICT adoption in multimodal transport sites: Investigating institutional-related influences in international seaports terminals.</w:t>
          </w:r>
          <w:bookmarkEnd w:id="17"/>
          <w:r w:rsidRPr="002C4D6B">
            <w:rPr>
              <w:rFonts w:cstheme="minorHAnsi"/>
            </w:rPr>
            <w:t xml:space="preserve"> </w:t>
          </w:r>
          <w:r w:rsidRPr="002C4D6B">
            <w:rPr>
              <w:rFonts w:cstheme="minorHAnsi"/>
              <w:i/>
            </w:rPr>
            <w:t>Transportation Research Part a: Policy and Practice</w:t>
          </w:r>
          <w:r w:rsidRPr="002C4D6B">
            <w:rPr>
              <w:rFonts w:cstheme="minorHAnsi"/>
            </w:rPr>
            <w:t xml:space="preserve">, </w:t>
          </w:r>
          <w:r w:rsidRPr="002C4D6B">
            <w:rPr>
              <w:rFonts w:cstheme="minorHAnsi"/>
              <w:i/>
            </w:rPr>
            <w:t>97</w:t>
          </w:r>
          <w:r w:rsidRPr="002C4D6B">
            <w:rPr>
              <w:rFonts w:cstheme="minorHAnsi"/>
            </w:rPr>
            <w:t>, 69–88. https://doi.org/10.1016/j.tra.2017.01.014</w:t>
          </w:r>
        </w:p>
        <w:p w14:paraId="7407E63D" w14:textId="77777777" w:rsidR="00FA26CE" w:rsidRPr="002C4D6B" w:rsidRDefault="00FA26CE" w:rsidP="00FA26CE">
          <w:pPr>
            <w:pStyle w:val="CitaviBibliographyEntry"/>
            <w:spacing w:line="240" w:lineRule="auto"/>
            <w:rPr>
              <w:rFonts w:cstheme="minorHAnsi"/>
            </w:rPr>
          </w:pPr>
          <w:bookmarkStart w:id="18" w:name="_CTVL001036b1aeda978419c8bae07d796d495a4"/>
          <w:r w:rsidRPr="002C4D6B">
            <w:rPr>
              <w:rFonts w:cstheme="minorHAnsi"/>
            </w:rPr>
            <w:t>Coronado Mondragon, A. E., Lalwani, C. S., Coronado Mondragon, E. S., Coronado Mondragon, C. E., &amp; Pawar, K. S. (2012). Intelligent transport systems in multimodal logistics: A case of role and contribution through wireless vehicular networks in a sea port location.</w:t>
          </w:r>
          <w:bookmarkEnd w:id="18"/>
          <w:r w:rsidRPr="002C4D6B">
            <w:rPr>
              <w:rFonts w:cstheme="minorHAnsi"/>
            </w:rPr>
            <w:t xml:space="preserve"> </w:t>
          </w:r>
          <w:r w:rsidRPr="002C4D6B">
            <w:rPr>
              <w:rFonts w:cstheme="minorHAnsi"/>
              <w:i/>
            </w:rPr>
            <w:t>International Journal of Production Economics</w:t>
          </w:r>
          <w:r w:rsidRPr="002C4D6B">
            <w:rPr>
              <w:rFonts w:cstheme="minorHAnsi"/>
            </w:rPr>
            <w:t xml:space="preserve">, </w:t>
          </w:r>
          <w:r w:rsidRPr="002C4D6B">
            <w:rPr>
              <w:rFonts w:cstheme="minorHAnsi"/>
              <w:i/>
            </w:rPr>
            <w:t>137</w:t>
          </w:r>
          <w:r w:rsidRPr="002C4D6B">
            <w:rPr>
              <w:rFonts w:cstheme="minorHAnsi"/>
            </w:rPr>
            <w:t>(1), 165–175. https://doi.org/10.1016/j.ijpe.2011.11.006</w:t>
          </w:r>
        </w:p>
        <w:p w14:paraId="6E18B8F4" w14:textId="77777777" w:rsidR="00FA26CE" w:rsidRPr="002C4D6B" w:rsidRDefault="00FA26CE" w:rsidP="00FA26CE">
          <w:pPr>
            <w:pStyle w:val="CitaviBibliographyEntry"/>
            <w:spacing w:line="240" w:lineRule="auto"/>
            <w:rPr>
              <w:rFonts w:cstheme="minorHAnsi"/>
            </w:rPr>
          </w:pPr>
          <w:bookmarkStart w:id="19" w:name="_CTVL00146a7268640f44b6188f8af8dd7818791"/>
          <w:r w:rsidRPr="002C4D6B">
            <w:rPr>
              <w:rFonts w:cstheme="minorHAnsi"/>
            </w:rPr>
            <w:t>Dai, H., Li, J., Yan, N., &amp; Zhou, W. (2016). Bullwhip effect and supply chain costs with low- and high-quality information on inventory shrinkage.</w:t>
          </w:r>
          <w:bookmarkEnd w:id="19"/>
          <w:r w:rsidRPr="002C4D6B">
            <w:rPr>
              <w:rFonts w:cstheme="minorHAnsi"/>
            </w:rPr>
            <w:t xml:space="preserve"> </w:t>
          </w:r>
          <w:r w:rsidRPr="002C4D6B">
            <w:rPr>
              <w:rFonts w:cstheme="minorHAnsi"/>
              <w:i/>
            </w:rPr>
            <w:t>European Journal of Operational Research</w:t>
          </w:r>
          <w:r w:rsidRPr="002C4D6B">
            <w:rPr>
              <w:rFonts w:cstheme="minorHAnsi"/>
            </w:rPr>
            <w:t xml:space="preserve">, </w:t>
          </w:r>
          <w:r w:rsidRPr="002C4D6B">
            <w:rPr>
              <w:rFonts w:cstheme="minorHAnsi"/>
              <w:i/>
            </w:rPr>
            <w:t>250</w:t>
          </w:r>
          <w:r w:rsidRPr="002C4D6B">
            <w:rPr>
              <w:rFonts w:cstheme="minorHAnsi"/>
            </w:rPr>
            <w:t>(2), 457–469. https://doi.org/10.1016/j.ejor.2015.11.004</w:t>
          </w:r>
        </w:p>
        <w:p w14:paraId="457C6027" w14:textId="77777777" w:rsidR="00FA26CE" w:rsidRPr="002C4D6B" w:rsidRDefault="00FA26CE" w:rsidP="00FA26CE">
          <w:pPr>
            <w:pStyle w:val="CitaviBibliographyEntry"/>
            <w:spacing w:line="240" w:lineRule="auto"/>
            <w:rPr>
              <w:rFonts w:cstheme="minorHAnsi"/>
              <w:i/>
            </w:rPr>
          </w:pPr>
          <w:bookmarkStart w:id="20" w:name="_CTVL0013283c270138048b7b8e89a27dfa9baaa"/>
          <w:r w:rsidRPr="002C4D6B">
            <w:rPr>
              <w:rFonts w:cstheme="minorHAnsi"/>
            </w:rPr>
            <w:lastRenderedPageBreak/>
            <w:t>DHL, &amp; Cisco. (2015).</w:t>
          </w:r>
          <w:bookmarkEnd w:id="20"/>
          <w:r w:rsidRPr="002C4D6B">
            <w:rPr>
              <w:rFonts w:cstheme="minorHAnsi"/>
            </w:rPr>
            <w:t xml:space="preserve"> </w:t>
          </w:r>
          <w:r w:rsidRPr="002C4D6B">
            <w:rPr>
              <w:rFonts w:cstheme="minorHAnsi"/>
              <w:i/>
            </w:rPr>
            <w:t xml:space="preserve">Internet of Things in Logistics: A collaborative report by DHL and Cisco on implications and use cases for the logistics industry. </w:t>
          </w:r>
        </w:p>
        <w:p w14:paraId="4F818737" w14:textId="77777777" w:rsidR="00FA26CE" w:rsidRPr="002C4D6B" w:rsidRDefault="00FA26CE" w:rsidP="00FA26CE">
          <w:pPr>
            <w:pStyle w:val="CitaviBibliographyEntry"/>
            <w:spacing w:line="240" w:lineRule="auto"/>
            <w:rPr>
              <w:rFonts w:cstheme="minorHAnsi"/>
              <w:i/>
            </w:rPr>
          </w:pPr>
          <w:bookmarkStart w:id="21" w:name="_CTVL001a33144f53aa649068c72e38d543d81f0"/>
          <w:r w:rsidRPr="002C4D6B">
            <w:rPr>
              <w:rFonts w:cstheme="minorHAnsi"/>
            </w:rPr>
            <w:t>DHL, &amp; Detecon. (2016).</w:t>
          </w:r>
          <w:bookmarkEnd w:id="21"/>
          <w:r w:rsidRPr="002C4D6B">
            <w:rPr>
              <w:rFonts w:cstheme="minorHAnsi"/>
            </w:rPr>
            <w:t xml:space="preserve"> </w:t>
          </w:r>
          <w:r w:rsidRPr="002C4D6B">
            <w:rPr>
              <w:rFonts w:cstheme="minorHAnsi"/>
              <w:i/>
            </w:rPr>
            <w:t xml:space="preserve">The Logistics Trend Radar: Delivering insight today. Creating value tomorrow! </w:t>
          </w:r>
        </w:p>
        <w:p w14:paraId="372D3B06" w14:textId="77777777" w:rsidR="00FA26CE" w:rsidRPr="002C4D6B" w:rsidRDefault="00FA26CE" w:rsidP="00FA26CE">
          <w:pPr>
            <w:pStyle w:val="CitaviBibliographyEntry"/>
            <w:spacing w:line="240" w:lineRule="auto"/>
            <w:rPr>
              <w:rFonts w:cstheme="minorHAnsi"/>
              <w:i/>
            </w:rPr>
          </w:pPr>
          <w:bookmarkStart w:id="22" w:name="_CTVL0017854b4ed1d9e4cd3b39bc24e50374abb"/>
          <w:r w:rsidRPr="002C4D6B">
            <w:rPr>
              <w:rFonts w:cstheme="minorHAnsi"/>
            </w:rPr>
            <w:t>DHL, &amp; IBM. (2018).</w:t>
          </w:r>
          <w:bookmarkEnd w:id="22"/>
          <w:r w:rsidRPr="002C4D6B">
            <w:rPr>
              <w:rFonts w:cstheme="minorHAnsi"/>
            </w:rPr>
            <w:t xml:space="preserve"> </w:t>
          </w:r>
          <w:r w:rsidRPr="002C4D6B">
            <w:rPr>
              <w:rFonts w:cstheme="minorHAnsi"/>
              <w:i/>
            </w:rPr>
            <w:t xml:space="preserve">Artificial Intelligence in Logistics: A collaborative report by DHL and IBM on implications and use cases for the logistics industry. </w:t>
          </w:r>
        </w:p>
        <w:p w14:paraId="5D3E1A30" w14:textId="77777777" w:rsidR="00FA26CE" w:rsidRPr="002C4D6B" w:rsidRDefault="00FA26CE" w:rsidP="00FA26CE">
          <w:pPr>
            <w:pStyle w:val="CitaviBibliographyEntry"/>
            <w:spacing w:line="240" w:lineRule="auto"/>
            <w:rPr>
              <w:rFonts w:cstheme="minorHAnsi"/>
              <w:i/>
            </w:rPr>
          </w:pPr>
          <w:bookmarkStart w:id="23" w:name="_CTVL001592ef308584b428599b9feb4c2efabc8"/>
          <w:r w:rsidRPr="002C4D6B">
            <w:rPr>
              <w:rFonts w:cstheme="minorHAnsi"/>
            </w:rPr>
            <w:t>DHL, &amp; Z_punkt. (2014).</w:t>
          </w:r>
          <w:bookmarkEnd w:id="23"/>
          <w:r w:rsidRPr="002C4D6B">
            <w:rPr>
              <w:rFonts w:cstheme="minorHAnsi"/>
            </w:rPr>
            <w:t xml:space="preserve"> </w:t>
          </w:r>
          <w:r w:rsidRPr="002C4D6B">
            <w:rPr>
              <w:rFonts w:cstheme="minorHAnsi"/>
              <w:i/>
            </w:rPr>
            <w:t xml:space="preserve">Augmented Reality in Logistics: Changing the way we see logistics - a DHL perspective. </w:t>
          </w:r>
        </w:p>
        <w:p w14:paraId="327F8871" w14:textId="77777777" w:rsidR="00FA26CE" w:rsidRPr="002C4D6B" w:rsidRDefault="00FA26CE" w:rsidP="00FA26CE">
          <w:pPr>
            <w:pStyle w:val="CitaviBibliographyEntry"/>
            <w:spacing w:line="240" w:lineRule="auto"/>
            <w:rPr>
              <w:rFonts w:cstheme="minorHAnsi"/>
            </w:rPr>
          </w:pPr>
          <w:bookmarkStart w:id="24" w:name="_CTVL00182a7b0e0f18d49b7b9fa7ed3d6cf0496"/>
          <w:r w:rsidRPr="002C4D6B">
            <w:rPr>
              <w:rFonts w:cstheme="minorHAnsi"/>
              <w:lang w:val="de-DE"/>
            </w:rPr>
            <w:t xml:space="preserve">Dimakopoulou, A. G., Pramatari, K. C., &amp; Tsekrekos, A. E. (2014). </w:t>
          </w:r>
          <w:r w:rsidRPr="002C4D6B">
            <w:rPr>
              <w:rFonts w:cstheme="minorHAnsi"/>
            </w:rPr>
            <w:t>Applying real options to IT investment evaluation: The case of radio frequency identification (RFID) technology in the supply chain.</w:t>
          </w:r>
          <w:bookmarkEnd w:id="24"/>
          <w:r w:rsidRPr="002C4D6B">
            <w:rPr>
              <w:rFonts w:cstheme="minorHAnsi"/>
            </w:rPr>
            <w:t xml:space="preserve"> </w:t>
          </w:r>
          <w:r w:rsidRPr="002C4D6B">
            <w:rPr>
              <w:rFonts w:cstheme="minorHAnsi"/>
              <w:i/>
            </w:rPr>
            <w:t>International Journal of Production Economics</w:t>
          </w:r>
          <w:r w:rsidRPr="002C4D6B">
            <w:rPr>
              <w:rFonts w:cstheme="minorHAnsi"/>
            </w:rPr>
            <w:t xml:space="preserve">, </w:t>
          </w:r>
          <w:r w:rsidRPr="002C4D6B">
            <w:rPr>
              <w:rFonts w:cstheme="minorHAnsi"/>
              <w:i/>
            </w:rPr>
            <w:t>156</w:t>
          </w:r>
          <w:r w:rsidRPr="002C4D6B">
            <w:rPr>
              <w:rFonts w:cstheme="minorHAnsi"/>
            </w:rPr>
            <w:t>, 191–207. https://doi.org/10.1016/j.ijpe.2014.06.005</w:t>
          </w:r>
        </w:p>
        <w:p w14:paraId="61A22B32" w14:textId="77777777" w:rsidR="00FA26CE" w:rsidRPr="002C4D6B" w:rsidRDefault="00FA26CE" w:rsidP="00FA26CE">
          <w:pPr>
            <w:pStyle w:val="CitaviBibliographyEntry"/>
            <w:spacing w:line="240" w:lineRule="auto"/>
            <w:rPr>
              <w:rFonts w:cstheme="minorHAnsi"/>
            </w:rPr>
          </w:pPr>
          <w:bookmarkStart w:id="25" w:name="_CTVL0019a01071e4b02407c97e57fabf98f6bbd"/>
          <w:r w:rsidRPr="002C4D6B">
            <w:rPr>
              <w:rFonts w:cstheme="minorHAnsi"/>
            </w:rPr>
            <w:t>Dolgui, A., &amp; Ivanov, D. (2022). 5G in digital supply chain and operations management: fostering flexibility, end-to-end connectivity and real-time visibility through internet-of-everything.</w:t>
          </w:r>
          <w:bookmarkEnd w:id="25"/>
          <w:r w:rsidRPr="002C4D6B">
            <w:rPr>
              <w:rFonts w:cstheme="minorHAnsi"/>
            </w:rPr>
            <w:t xml:space="preserve"> </w:t>
          </w:r>
          <w:r w:rsidRPr="002C4D6B">
            <w:rPr>
              <w:rFonts w:cstheme="minorHAnsi"/>
              <w:i/>
            </w:rPr>
            <w:t>International Journal of Production Research</w:t>
          </w:r>
          <w:r w:rsidRPr="002C4D6B">
            <w:rPr>
              <w:rFonts w:cstheme="minorHAnsi"/>
            </w:rPr>
            <w:t xml:space="preserve">, </w:t>
          </w:r>
          <w:r w:rsidRPr="002C4D6B">
            <w:rPr>
              <w:rFonts w:cstheme="minorHAnsi"/>
              <w:i/>
            </w:rPr>
            <w:t>60</w:t>
          </w:r>
          <w:r w:rsidRPr="002C4D6B">
            <w:rPr>
              <w:rFonts w:cstheme="minorHAnsi"/>
            </w:rPr>
            <w:t>(2), 442–451. https://doi.org/10.1080/00207543.2021.2002969</w:t>
          </w:r>
        </w:p>
        <w:p w14:paraId="255FF655" w14:textId="77777777" w:rsidR="00FA26CE" w:rsidRPr="002C4D6B" w:rsidRDefault="00FA26CE" w:rsidP="00FA26CE">
          <w:pPr>
            <w:pStyle w:val="CitaviBibliographyEntry"/>
            <w:spacing w:line="240" w:lineRule="auto"/>
            <w:rPr>
              <w:rFonts w:cstheme="minorHAnsi"/>
            </w:rPr>
          </w:pPr>
          <w:bookmarkStart w:id="26" w:name="_CTVL001666b741af464495291a57af83b3908be"/>
          <w:r w:rsidRPr="002C4D6B">
            <w:rPr>
              <w:rFonts w:cstheme="minorHAnsi"/>
            </w:rPr>
            <w:t>Döppner, D. A., Gregory, R. W., Schoder, D., &amp; Siejka, H. (2016). Exploring Design Principles for Human-Machine Symbiosis: Insights from Constructing an Air Transportation Logistics Artifact.</w:t>
          </w:r>
          <w:bookmarkEnd w:id="26"/>
          <w:r w:rsidRPr="002C4D6B">
            <w:rPr>
              <w:rFonts w:cstheme="minorHAnsi"/>
            </w:rPr>
            <w:t xml:space="preserve"> </w:t>
          </w:r>
          <w:r w:rsidRPr="002C4D6B">
            <w:rPr>
              <w:rFonts w:cstheme="minorHAnsi"/>
              <w:i/>
            </w:rPr>
            <w:t>International Conference on Information Systems (ICIS) 2016 Proceedings</w:t>
          </w:r>
          <w:r w:rsidRPr="002C4D6B">
            <w:rPr>
              <w:rFonts w:cstheme="minorHAnsi"/>
            </w:rPr>
            <w:t>.</w:t>
          </w:r>
        </w:p>
        <w:p w14:paraId="6D79D432" w14:textId="77777777" w:rsidR="00FA26CE" w:rsidRPr="002C4D6B" w:rsidRDefault="00FA26CE" w:rsidP="00FA26CE">
          <w:pPr>
            <w:pStyle w:val="CitaviBibliographyEntry"/>
            <w:spacing w:line="240" w:lineRule="auto"/>
            <w:rPr>
              <w:rFonts w:cstheme="minorHAnsi"/>
            </w:rPr>
          </w:pPr>
          <w:bookmarkStart w:id="27" w:name="_CTVL001c37251995af347c8aa3bdb52cf1e7847"/>
          <w:r w:rsidRPr="002C4D6B">
            <w:rPr>
              <w:rFonts w:cstheme="minorHAnsi"/>
            </w:rPr>
            <w:t>Fescioglu-Unver, N., Choi, S. H., Sheen, D., &amp; Kumara, S. (2015). RFID in production and service systems: Technology, applications and issues.</w:t>
          </w:r>
          <w:bookmarkEnd w:id="27"/>
          <w:r w:rsidRPr="002C4D6B">
            <w:rPr>
              <w:rFonts w:cstheme="minorHAnsi"/>
            </w:rPr>
            <w:t xml:space="preserve"> </w:t>
          </w:r>
          <w:r w:rsidRPr="002C4D6B">
            <w:rPr>
              <w:rFonts w:cstheme="minorHAnsi"/>
              <w:i/>
            </w:rPr>
            <w:t>Information Systems Frontiers</w:t>
          </w:r>
          <w:r w:rsidRPr="002C4D6B">
            <w:rPr>
              <w:rFonts w:cstheme="minorHAnsi"/>
            </w:rPr>
            <w:t xml:space="preserve">, </w:t>
          </w:r>
          <w:r w:rsidRPr="002C4D6B">
            <w:rPr>
              <w:rFonts w:cstheme="minorHAnsi"/>
              <w:i/>
            </w:rPr>
            <w:t>17</w:t>
          </w:r>
          <w:r w:rsidRPr="002C4D6B">
            <w:rPr>
              <w:rFonts w:cstheme="minorHAnsi"/>
            </w:rPr>
            <w:t>(6), 1369–1380. https://doi.org/10.1007/s10796-014-9518-1</w:t>
          </w:r>
        </w:p>
        <w:p w14:paraId="75CE80A4" w14:textId="77777777" w:rsidR="00FA26CE" w:rsidRPr="002C4D6B" w:rsidRDefault="00FA26CE" w:rsidP="00FA26CE">
          <w:pPr>
            <w:pStyle w:val="CitaviBibliographyEntry"/>
            <w:spacing w:line="240" w:lineRule="auto"/>
            <w:rPr>
              <w:rFonts w:cstheme="minorHAnsi"/>
            </w:rPr>
          </w:pPr>
          <w:bookmarkStart w:id="28" w:name="_CTVL001e4061f5b0c1d4445998093f089b79d82"/>
          <w:r w:rsidRPr="002C4D6B">
            <w:rPr>
              <w:rFonts w:cstheme="minorHAnsi"/>
            </w:rPr>
            <w:t>Fosso Wamba, S., &amp; Chatfield, A. T. (2011). The impact of RFID technology on warehouse process innovation: A pilot project in the TPL industry.</w:t>
          </w:r>
          <w:bookmarkEnd w:id="28"/>
          <w:r w:rsidRPr="002C4D6B">
            <w:rPr>
              <w:rFonts w:cstheme="minorHAnsi"/>
            </w:rPr>
            <w:t xml:space="preserve"> </w:t>
          </w:r>
          <w:r w:rsidRPr="002C4D6B">
            <w:rPr>
              <w:rFonts w:cstheme="minorHAnsi"/>
              <w:i/>
            </w:rPr>
            <w:t>Information Systems Frontiers</w:t>
          </w:r>
          <w:r w:rsidRPr="002C4D6B">
            <w:rPr>
              <w:rFonts w:cstheme="minorHAnsi"/>
            </w:rPr>
            <w:t xml:space="preserve">, </w:t>
          </w:r>
          <w:r w:rsidRPr="002C4D6B">
            <w:rPr>
              <w:rFonts w:cstheme="minorHAnsi"/>
              <w:i/>
            </w:rPr>
            <w:t>13</w:t>
          </w:r>
          <w:r w:rsidRPr="002C4D6B">
            <w:rPr>
              <w:rFonts w:cstheme="minorHAnsi"/>
            </w:rPr>
            <w:t>(5), 693–706. https://doi.org/10.1007/s10796-010-9246-0</w:t>
          </w:r>
        </w:p>
        <w:p w14:paraId="0E2A04CC" w14:textId="77777777" w:rsidR="00FA26CE" w:rsidRPr="002C4D6B" w:rsidRDefault="00FA26CE" w:rsidP="00FA26CE">
          <w:pPr>
            <w:pStyle w:val="CitaviBibliographyEntry"/>
            <w:spacing w:line="240" w:lineRule="auto"/>
            <w:rPr>
              <w:rFonts w:cstheme="minorHAnsi"/>
            </w:rPr>
          </w:pPr>
          <w:bookmarkStart w:id="29" w:name="_CTVL0019f9ca046235a4fcb89a53e9d10a3f134"/>
          <w:r w:rsidRPr="002C4D6B">
            <w:rPr>
              <w:rFonts w:cstheme="minorHAnsi"/>
            </w:rPr>
            <w:t>Frank, A. G., Dalenogare, L. S., &amp; Ayala, N. F [Néstor F.] (2019). Industry 4.0 technologies: Implementation patterns in manufacturing companies.</w:t>
          </w:r>
          <w:bookmarkEnd w:id="29"/>
          <w:r w:rsidRPr="002C4D6B">
            <w:rPr>
              <w:rFonts w:cstheme="minorHAnsi"/>
            </w:rPr>
            <w:t xml:space="preserve"> </w:t>
          </w:r>
          <w:r w:rsidRPr="002C4D6B">
            <w:rPr>
              <w:rFonts w:cstheme="minorHAnsi"/>
              <w:i/>
            </w:rPr>
            <w:t>International Journal of Production Economics</w:t>
          </w:r>
          <w:r w:rsidRPr="002C4D6B">
            <w:rPr>
              <w:rFonts w:cstheme="minorHAnsi"/>
            </w:rPr>
            <w:t xml:space="preserve">, </w:t>
          </w:r>
          <w:r w:rsidRPr="002C4D6B">
            <w:rPr>
              <w:rFonts w:cstheme="minorHAnsi"/>
              <w:i/>
            </w:rPr>
            <w:t>210</w:t>
          </w:r>
          <w:r w:rsidRPr="002C4D6B">
            <w:rPr>
              <w:rFonts w:cstheme="minorHAnsi"/>
            </w:rPr>
            <w:t>, 15–26. https://doi.org/10.1016/j.ijpe.2019.01.004</w:t>
          </w:r>
        </w:p>
        <w:p w14:paraId="7D06CB44" w14:textId="77777777" w:rsidR="00FA26CE" w:rsidRPr="002C4D6B" w:rsidRDefault="00FA26CE" w:rsidP="00FA26CE">
          <w:pPr>
            <w:pStyle w:val="CitaviBibliographyEntry"/>
            <w:spacing w:line="240" w:lineRule="auto"/>
            <w:rPr>
              <w:rFonts w:cstheme="minorHAnsi"/>
              <w:i/>
            </w:rPr>
          </w:pPr>
          <w:bookmarkStart w:id="30" w:name="_CTVL0019670cbc5e70c487eae700882a5049bbd"/>
          <w:r w:rsidRPr="002C4D6B">
            <w:rPr>
              <w:rFonts w:cstheme="minorHAnsi"/>
            </w:rPr>
            <w:t>Fraunhofer. (2016).</w:t>
          </w:r>
          <w:bookmarkEnd w:id="30"/>
          <w:r w:rsidRPr="002C4D6B">
            <w:rPr>
              <w:rFonts w:cstheme="minorHAnsi"/>
            </w:rPr>
            <w:t xml:space="preserve"> </w:t>
          </w:r>
          <w:r w:rsidRPr="002C4D6B">
            <w:rPr>
              <w:rFonts w:cstheme="minorHAnsi"/>
              <w:i/>
            </w:rPr>
            <w:t xml:space="preserve">Industrial Data Space: Digital Souvereignity Over Data. </w:t>
          </w:r>
        </w:p>
        <w:p w14:paraId="08B0E2A6" w14:textId="77777777" w:rsidR="00FA26CE" w:rsidRPr="002C4D6B" w:rsidRDefault="00FA26CE" w:rsidP="00FA26CE">
          <w:pPr>
            <w:pStyle w:val="CitaviBibliographyEntry"/>
            <w:spacing w:line="240" w:lineRule="auto"/>
            <w:rPr>
              <w:rFonts w:cstheme="minorHAnsi"/>
            </w:rPr>
          </w:pPr>
          <w:bookmarkStart w:id="31" w:name="_CTVL0010091745a965e43439702b81c5e0829e1"/>
          <w:r w:rsidRPr="002C4D6B">
            <w:rPr>
              <w:rFonts w:cstheme="minorHAnsi"/>
              <w:lang w:val="de-DE"/>
            </w:rPr>
            <w:t xml:space="preserve">Frazzon, E. M., Albrecht, A., Pires, M., Israel, E., Kück, M., &amp; Freitag, M. (2018). </w:t>
          </w:r>
          <w:r w:rsidRPr="002C4D6B">
            <w:rPr>
              <w:rFonts w:cstheme="minorHAnsi"/>
            </w:rPr>
            <w:t>Hybrid approach for the integrated scheduling of production and transport processes along supply chains.</w:t>
          </w:r>
          <w:bookmarkEnd w:id="31"/>
          <w:r w:rsidRPr="002C4D6B">
            <w:rPr>
              <w:rFonts w:cstheme="minorHAnsi"/>
            </w:rPr>
            <w:t xml:space="preserve"> </w:t>
          </w:r>
          <w:r w:rsidRPr="002C4D6B">
            <w:rPr>
              <w:rFonts w:cstheme="minorHAnsi"/>
              <w:i/>
            </w:rPr>
            <w:t>International Journal of Production Research</w:t>
          </w:r>
          <w:r w:rsidRPr="002C4D6B">
            <w:rPr>
              <w:rFonts w:cstheme="minorHAnsi"/>
            </w:rPr>
            <w:t xml:space="preserve">, </w:t>
          </w:r>
          <w:r w:rsidRPr="002C4D6B">
            <w:rPr>
              <w:rFonts w:cstheme="minorHAnsi"/>
              <w:i/>
            </w:rPr>
            <w:t>56</w:t>
          </w:r>
          <w:r w:rsidRPr="002C4D6B">
            <w:rPr>
              <w:rFonts w:cstheme="minorHAnsi"/>
            </w:rPr>
            <w:t>(5), 2019–2035. https://doi.org/10.1080/00207543.2017.1355118</w:t>
          </w:r>
        </w:p>
        <w:p w14:paraId="04F39FD9" w14:textId="77777777" w:rsidR="00FA26CE" w:rsidRPr="002C4D6B" w:rsidRDefault="00FA26CE" w:rsidP="00FA26CE">
          <w:pPr>
            <w:pStyle w:val="CitaviBibliographyEntry"/>
            <w:spacing w:line="240" w:lineRule="auto"/>
            <w:rPr>
              <w:rFonts w:cstheme="minorHAnsi"/>
              <w:i/>
            </w:rPr>
          </w:pPr>
          <w:bookmarkStart w:id="32" w:name="_CTVL001d5fd0068ac1445e591dc89c2ebea168d"/>
          <w:r w:rsidRPr="002C4D6B">
            <w:rPr>
              <w:rFonts w:cstheme="minorHAnsi"/>
            </w:rPr>
            <w:t>Gartner. (2022).</w:t>
          </w:r>
          <w:bookmarkEnd w:id="32"/>
          <w:r w:rsidRPr="002C4D6B">
            <w:rPr>
              <w:rFonts w:cstheme="minorHAnsi"/>
            </w:rPr>
            <w:t xml:space="preserve"> </w:t>
          </w:r>
          <w:r w:rsidRPr="002C4D6B">
            <w:rPr>
              <w:rFonts w:cstheme="minorHAnsi"/>
              <w:i/>
            </w:rPr>
            <w:t xml:space="preserve">The Top 8 Supply Chain Technology Trends. </w:t>
          </w:r>
        </w:p>
        <w:p w14:paraId="1147FB63" w14:textId="77777777" w:rsidR="00FA26CE" w:rsidRPr="002C4D6B" w:rsidRDefault="00FA26CE" w:rsidP="00FA26CE">
          <w:pPr>
            <w:pStyle w:val="CitaviBibliographyEntry"/>
            <w:spacing w:line="240" w:lineRule="auto"/>
            <w:rPr>
              <w:rFonts w:cstheme="minorHAnsi"/>
            </w:rPr>
          </w:pPr>
          <w:bookmarkStart w:id="33" w:name="_CTVL00186a21cf89b004e4586b3131a05b6126f"/>
          <w:r w:rsidRPr="002C4D6B">
            <w:rPr>
              <w:rFonts w:cstheme="minorHAnsi"/>
            </w:rPr>
            <w:t>Hahn, G. J. (2020). Industry 4.0: a supply chain innovation perspective.</w:t>
          </w:r>
          <w:bookmarkEnd w:id="33"/>
          <w:r w:rsidRPr="002C4D6B">
            <w:rPr>
              <w:rFonts w:cstheme="minorHAnsi"/>
            </w:rPr>
            <w:t xml:space="preserve"> </w:t>
          </w:r>
          <w:r w:rsidRPr="002C4D6B">
            <w:rPr>
              <w:rFonts w:cstheme="minorHAnsi"/>
              <w:i/>
            </w:rPr>
            <w:t>International Journal of Production Research</w:t>
          </w:r>
          <w:r w:rsidRPr="002C4D6B">
            <w:rPr>
              <w:rFonts w:cstheme="minorHAnsi"/>
            </w:rPr>
            <w:t xml:space="preserve">, </w:t>
          </w:r>
          <w:r w:rsidRPr="002C4D6B">
            <w:rPr>
              <w:rFonts w:cstheme="minorHAnsi"/>
              <w:i/>
            </w:rPr>
            <w:t>58</w:t>
          </w:r>
          <w:r w:rsidRPr="002C4D6B">
            <w:rPr>
              <w:rFonts w:cstheme="minorHAnsi"/>
            </w:rPr>
            <w:t>(5), 1425–1441. https://doi.org/10.1080/00207543.2019.1641642</w:t>
          </w:r>
        </w:p>
        <w:p w14:paraId="1183B73F" w14:textId="77777777" w:rsidR="00FA26CE" w:rsidRPr="002C4D6B" w:rsidRDefault="00FA26CE" w:rsidP="00FA26CE">
          <w:pPr>
            <w:pStyle w:val="CitaviBibliographyEntry"/>
            <w:spacing w:line="240" w:lineRule="auto"/>
            <w:rPr>
              <w:rFonts w:cstheme="minorHAnsi"/>
            </w:rPr>
          </w:pPr>
          <w:bookmarkStart w:id="34" w:name="_CTVL0010c3db07fa7e74649bfef4475b5e75f71"/>
          <w:r w:rsidRPr="002C4D6B">
            <w:rPr>
              <w:rFonts w:cstheme="minorHAnsi"/>
            </w:rPr>
            <w:t>Han, J. H., Wang, Y., &amp; Naim, M. (2017). Reconceptualization of information technology flexibility for supply chain management: An empirical study.</w:t>
          </w:r>
          <w:bookmarkEnd w:id="34"/>
          <w:r w:rsidRPr="002C4D6B">
            <w:rPr>
              <w:rFonts w:cstheme="minorHAnsi"/>
            </w:rPr>
            <w:t xml:space="preserve"> </w:t>
          </w:r>
          <w:r w:rsidRPr="002C4D6B">
            <w:rPr>
              <w:rFonts w:cstheme="minorHAnsi"/>
              <w:i/>
            </w:rPr>
            <w:t>International Journal of Production Economics</w:t>
          </w:r>
          <w:r w:rsidRPr="002C4D6B">
            <w:rPr>
              <w:rFonts w:cstheme="minorHAnsi"/>
            </w:rPr>
            <w:t xml:space="preserve">, </w:t>
          </w:r>
          <w:r w:rsidRPr="002C4D6B">
            <w:rPr>
              <w:rFonts w:cstheme="minorHAnsi"/>
              <w:i/>
            </w:rPr>
            <w:t>187</w:t>
          </w:r>
          <w:r w:rsidRPr="002C4D6B">
            <w:rPr>
              <w:rFonts w:cstheme="minorHAnsi"/>
            </w:rPr>
            <w:t>, 196–215. https://doi.org/10.1016/j.ijpe.2017.02.018</w:t>
          </w:r>
        </w:p>
        <w:p w14:paraId="05199ACC" w14:textId="77777777" w:rsidR="00FA26CE" w:rsidRPr="002C4D6B" w:rsidRDefault="00FA26CE" w:rsidP="00FA26CE">
          <w:pPr>
            <w:pStyle w:val="CitaviBibliographyEntry"/>
            <w:spacing w:line="240" w:lineRule="auto"/>
            <w:rPr>
              <w:rFonts w:cstheme="minorHAnsi"/>
            </w:rPr>
          </w:pPr>
          <w:bookmarkStart w:id="35" w:name="_CTVL001e83298a8d2924d029805f7c53ac40bca"/>
          <w:r w:rsidRPr="002C4D6B">
            <w:rPr>
              <w:rFonts w:cstheme="minorHAnsi"/>
            </w:rPr>
            <w:t>He, Z., Aggarwal, V., &amp; Nof, S. Y. (2018). Differentiated service policy in smart warehouse automation.</w:t>
          </w:r>
          <w:bookmarkEnd w:id="35"/>
          <w:r w:rsidRPr="002C4D6B">
            <w:rPr>
              <w:rFonts w:cstheme="minorHAnsi"/>
            </w:rPr>
            <w:t xml:space="preserve"> </w:t>
          </w:r>
          <w:r w:rsidRPr="002C4D6B">
            <w:rPr>
              <w:rFonts w:cstheme="minorHAnsi"/>
              <w:i/>
            </w:rPr>
            <w:t>International Journal of Production Research</w:t>
          </w:r>
          <w:r w:rsidRPr="002C4D6B">
            <w:rPr>
              <w:rFonts w:cstheme="minorHAnsi"/>
            </w:rPr>
            <w:t xml:space="preserve">, </w:t>
          </w:r>
          <w:r w:rsidRPr="002C4D6B">
            <w:rPr>
              <w:rFonts w:cstheme="minorHAnsi"/>
              <w:i/>
            </w:rPr>
            <w:t>56</w:t>
          </w:r>
          <w:r w:rsidRPr="002C4D6B">
            <w:rPr>
              <w:rFonts w:cstheme="minorHAnsi"/>
            </w:rPr>
            <w:t>(22), 6956–6970. https://doi.org/10.1080/00207543.2017.1421789</w:t>
          </w:r>
        </w:p>
        <w:p w14:paraId="42542C59" w14:textId="77777777" w:rsidR="00FA26CE" w:rsidRPr="002C4D6B" w:rsidRDefault="00FA26CE" w:rsidP="00FA26CE">
          <w:pPr>
            <w:pStyle w:val="CitaviBibliographyEntry"/>
            <w:spacing w:line="240" w:lineRule="auto"/>
            <w:rPr>
              <w:rFonts w:cstheme="minorHAnsi"/>
            </w:rPr>
          </w:pPr>
          <w:bookmarkStart w:id="36" w:name="_CTVL001dddd27afe87343ba9043469e8c473983"/>
          <w:r w:rsidRPr="002C4D6B">
            <w:rPr>
              <w:rFonts w:cstheme="minorHAnsi"/>
            </w:rPr>
            <w:t>Holmström, J., &amp; Partanen, J. (2014). Digital manufacturing-driven transformations of service supply chains for complex products.</w:t>
          </w:r>
          <w:bookmarkEnd w:id="36"/>
          <w:r w:rsidRPr="002C4D6B">
            <w:rPr>
              <w:rFonts w:cstheme="minorHAnsi"/>
            </w:rPr>
            <w:t xml:space="preserve"> </w:t>
          </w:r>
          <w:r w:rsidRPr="002C4D6B">
            <w:rPr>
              <w:rFonts w:cstheme="minorHAnsi"/>
              <w:i/>
            </w:rPr>
            <w:t>Supply Chain Management: An International Journal</w:t>
          </w:r>
          <w:r w:rsidRPr="002C4D6B">
            <w:rPr>
              <w:rFonts w:cstheme="minorHAnsi"/>
            </w:rPr>
            <w:t xml:space="preserve">, </w:t>
          </w:r>
          <w:r w:rsidRPr="002C4D6B">
            <w:rPr>
              <w:rFonts w:cstheme="minorHAnsi"/>
              <w:i/>
            </w:rPr>
            <w:t>19</w:t>
          </w:r>
          <w:r w:rsidRPr="002C4D6B">
            <w:rPr>
              <w:rFonts w:cstheme="minorHAnsi"/>
            </w:rPr>
            <w:t>(4), 421–430. https://doi.org/10.1108/SCM-10-2013-0387</w:t>
          </w:r>
        </w:p>
        <w:p w14:paraId="32361A90" w14:textId="77777777" w:rsidR="00FA26CE" w:rsidRPr="002C4D6B" w:rsidRDefault="00FA26CE" w:rsidP="00FA26CE">
          <w:pPr>
            <w:pStyle w:val="CitaviBibliographyEntry"/>
            <w:spacing w:line="240" w:lineRule="auto"/>
            <w:rPr>
              <w:rFonts w:cstheme="minorHAnsi"/>
              <w:i/>
            </w:rPr>
          </w:pPr>
          <w:bookmarkStart w:id="37" w:name="_CTVL00164f7869a5dfb4510b3702aa390935caa"/>
          <w:r w:rsidRPr="002C4D6B">
            <w:rPr>
              <w:rFonts w:cstheme="minorHAnsi"/>
            </w:rPr>
            <w:t>IBM, &amp; Celonis. (2022).</w:t>
          </w:r>
          <w:bookmarkEnd w:id="37"/>
          <w:r w:rsidRPr="002C4D6B">
            <w:rPr>
              <w:rFonts w:cstheme="minorHAnsi"/>
            </w:rPr>
            <w:t xml:space="preserve"> </w:t>
          </w:r>
          <w:r w:rsidRPr="002C4D6B">
            <w:rPr>
              <w:rFonts w:cstheme="minorHAnsi"/>
              <w:i/>
            </w:rPr>
            <w:t xml:space="preserve">The resilient digital supply chain: How intelligent workflows balance efficiency and sustainability. </w:t>
          </w:r>
        </w:p>
        <w:p w14:paraId="60A5E40C" w14:textId="77777777" w:rsidR="00FA26CE" w:rsidRPr="002C4D6B" w:rsidRDefault="00FA26CE" w:rsidP="00FA26CE">
          <w:pPr>
            <w:pStyle w:val="CitaviBibliographyEntry"/>
            <w:spacing w:line="240" w:lineRule="auto"/>
            <w:rPr>
              <w:rFonts w:cstheme="minorHAnsi"/>
            </w:rPr>
          </w:pPr>
          <w:bookmarkStart w:id="38" w:name="_CTVL001db88fd9ff1214e789bf734cef06d53f8"/>
          <w:r w:rsidRPr="002C4D6B">
            <w:rPr>
              <w:rFonts w:cstheme="minorHAnsi"/>
            </w:rPr>
            <w:t>Ivanov, D., Dolgui, A., &amp; Sokolov, B. (2019). The impact of digital technology and Industry 4.0 on the ripple effect and supply chain risk analytics.</w:t>
          </w:r>
          <w:bookmarkEnd w:id="38"/>
          <w:r w:rsidRPr="002C4D6B">
            <w:rPr>
              <w:rFonts w:cstheme="minorHAnsi"/>
            </w:rPr>
            <w:t xml:space="preserve"> </w:t>
          </w:r>
          <w:r w:rsidRPr="002C4D6B">
            <w:rPr>
              <w:rFonts w:cstheme="minorHAnsi"/>
              <w:i/>
            </w:rPr>
            <w:t>International Journal of Production Research</w:t>
          </w:r>
          <w:r w:rsidRPr="002C4D6B">
            <w:rPr>
              <w:rFonts w:cstheme="minorHAnsi"/>
            </w:rPr>
            <w:t xml:space="preserve">, </w:t>
          </w:r>
          <w:r w:rsidRPr="002C4D6B">
            <w:rPr>
              <w:rFonts w:cstheme="minorHAnsi"/>
              <w:i/>
            </w:rPr>
            <w:t>57</w:t>
          </w:r>
          <w:r w:rsidRPr="002C4D6B">
            <w:rPr>
              <w:rFonts w:cstheme="minorHAnsi"/>
            </w:rPr>
            <w:t>(3), 829–846. https://doi.org/10.1080/00207543.2018.1488086</w:t>
          </w:r>
        </w:p>
        <w:p w14:paraId="572A831D" w14:textId="77777777" w:rsidR="00FA26CE" w:rsidRPr="002C4D6B" w:rsidRDefault="00FA26CE" w:rsidP="00FA26CE">
          <w:pPr>
            <w:pStyle w:val="CitaviBibliographyEntry"/>
            <w:spacing w:line="240" w:lineRule="auto"/>
            <w:rPr>
              <w:rFonts w:cstheme="minorHAnsi"/>
            </w:rPr>
          </w:pPr>
          <w:bookmarkStart w:id="39" w:name="_CTVL0012aa494ed8a204d9497b8be689c83f5e4"/>
          <w:r w:rsidRPr="002C4D6B">
            <w:rPr>
              <w:rFonts w:cstheme="minorHAnsi"/>
            </w:rPr>
            <w:t>Jun, W. K., Lee, M.</w:t>
          </w:r>
          <w:r w:rsidRPr="002C4D6B">
            <w:rPr>
              <w:rFonts w:ascii="Cambria Math" w:hAnsi="Cambria Math" w:cs="Cambria Math"/>
            </w:rPr>
            <w:t>‑</w:t>
          </w:r>
          <w:r w:rsidRPr="002C4D6B">
            <w:rPr>
              <w:rFonts w:cstheme="minorHAnsi"/>
            </w:rPr>
            <w:t>K., &amp; Choi, J. Y. (2018). Impact of the smart port industry on the Korean national economy using input-output analysis.</w:t>
          </w:r>
          <w:bookmarkEnd w:id="39"/>
          <w:r w:rsidRPr="002C4D6B">
            <w:rPr>
              <w:rFonts w:cstheme="minorHAnsi"/>
            </w:rPr>
            <w:t xml:space="preserve"> </w:t>
          </w:r>
          <w:r w:rsidRPr="002C4D6B">
            <w:rPr>
              <w:rFonts w:cstheme="minorHAnsi"/>
              <w:i/>
            </w:rPr>
            <w:t>Transportation Research Part a: Policy and Practice</w:t>
          </w:r>
          <w:r w:rsidRPr="002C4D6B">
            <w:rPr>
              <w:rFonts w:cstheme="minorHAnsi"/>
            </w:rPr>
            <w:t xml:space="preserve">, </w:t>
          </w:r>
          <w:r w:rsidRPr="002C4D6B">
            <w:rPr>
              <w:rFonts w:cstheme="minorHAnsi"/>
              <w:i/>
            </w:rPr>
            <w:t>118</w:t>
          </w:r>
          <w:r w:rsidRPr="002C4D6B">
            <w:rPr>
              <w:rFonts w:cstheme="minorHAnsi"/>
            </w:rPr>
            <w:t>, 480–493. https://doi.org/10.1016/j.tra.2018.10.004</w:t>
          </w:r>
        </w:p>
        <w:p w14:paraId="14F4D8D0" w14:textId="77777777" w:rsidR="00FA26CE" w:rsidRPr="002C4D6B" w:rsidRDefault="00FA26CE" w:rsidP="00FA26CE">
          <w:pPr>
            <w:pStyle w:val="CitaviBibliographyEntry"/>
            <w:spacing w:line="240" w:lineRule="auto"/>
            <w:rPr>
              <w:rFonts w:cstheme="minorHAnsi"/>
            </w:rPr>
          </w:pPr>
          <w:bookmarkStart w:id="40" w:name="_CTVL0014fd27a9777e046a399750a36ea5ccd5b"/>
          <w:r w:rsidRPr="002C4D6B">
            <w:rPr>
              <w:rFonts w:cstheme="minorHAnsi"/>
            </w:rPr>
            <w:t>Kache, F., &amp; Seuring, S. (2017). Challenges and opportunities of digital information at the intersection of Big Data Analytics and supply chain management.</w:t>
          </w:r>
          <w:bookmarkEnd w:id="40"/>
          <w:r w:rsidRPr="002C4D6B">
            <w:rPr>
              <w:rFonts w:cstheme="minorHAnsi"/>
            </w:rPr>
            <w:t xml:space="preserve"> </w:t>
          </w:r>
          <w:r w:rsidRPr="002C4D6B">
            <w:rPr>
              <w:rFonts w:cstheme="minorHAnsi"/>
              <w:i/>
            </w:rPr>
            <w:t>International Journal of Operations &amp; Production Management</w:t>
          </w:r>
          <w:r w:rsidRPr="002C4D6B">
            <w:rPr>
              <w:rFonts w:cstheme="minorHAnsi"/>
            </w:rPr>
            <w:t xml:space="preserve">, </w:t>
          </w:r>
          <w:r w:rsidRPr="002C4D6B">
            <w:rPr>
              <w:rFonts w:cstheme="minorHAnsi"/>
              <w:i/>
            </w:rPr>
            <w:t>37</w:t>
          </w:r>
          <w:r w:rsidRPr="002C4D6B">
            <w:rPr>
              <w:rFonts w:cstheme="minorHAnsi"/>
            </w:rPr>
            <w:t>(1), 10–36. https://doi.org/10.1108/IJOPM-02-2015-0078</w:t>
          </w:r>
        </w:p>
        <w:p w14:paraId="102E5EE9" w14:textId="77777777" w:rsidR="00FA26CE" w:rsidRPr="002C4D6B" w:rsidRDefault="00FA26CE" w:rsidP="00FA26CE">
          <w:pPr>
            <w:pStyle w:val="CitaviBibliographyEntry"/>
            <w:spacing w:line="240" w:lineRule="auto"/>
            <w:rPr>
              <w:rFonts w:cstheme="minorHAnsi"/>
            </w:rPr>
          </w:pPr>
          <w:bookmarkStart w:id="41" w:name="_CTVL0010645bf177b3548bf84a5ba99f2ebf754"/>
          <w:r w:rsidRPr="002C4D6B">
            <w:rPr>
              <w:rFonts w:cstheme="minorHAnsi"/>
            </w:rPr>
            <w:t>Kembro, J. H., Danielsson, V., &amp; Smajli, G. (2017). Network video technology: Exploring an innovative approach to improving warehouse operations.</w:t>
          </w:r>
          <w:bookmarkEnd w:id="41"/>
          <w:r w:rsidRPr="002C4D6B">
            <w:rPr>
              <w:rFonts w:cstheme="minorHAnsi"/>
            </w:rPr>
            <w:t xml:space="preserve"> </w:t>
          </w:r>
          <w:r w:rsidRPr="002C4D6B">
            <w:rPr>
              <w:rFonts w:cstheme="minorHAnsi"/>
              <w:i/>
            </w:rPr>
            <w:t>International Journal of Physical Distribution &amp; Logistics Management</w:t>
          </w:r>
          <w:r w:rsidRPr="002C4D6B">
            <w:rPr>
              <w:rFonts w:cstheme="minorHAnsi"/>
            </w:rPr>
            <w:t xml:space="preserve">, </w:t>
          </w:r>
          <w:r w:rsidRPr="002C4D6B">
            <w:rPr>
              <w:rFonts w:cstheme="minorHAnsi"/>
              <w:i/>
            </w:rPr>
            <w:t>47</w:t>
          </w:r>
          <w:r w:rsidRPr="002C4D6B">
            <w:rPr>
              <w:rFonts w:cstheme="minorHAnsi"/>
            </w:rPr>
            <w:t>(7), 623–645. https://doi.org/10.1108/IJPDLM-02-2017-0112</w:t>
          </w:r>
        </w:p>
        <w:p w14:paraId="5DFBBEB9" w14:textId="77777777" w:rsidR="00FA26CE" w:rsidRPr="002C4D6B" w:rsidRDefault="00FA26CE" w:rsidP="00FA26CE">
          <w:pPr>
            <w:pStyle w:val="CitaviBibliographyEntry"/>
            <w:spacing w:line="240" w:lineRule="auto"/>
            <w:rPr>
              <w:rFonts w:cstheme="minorHAnsi"/>
            </w:rPr>
          </w:pPr>
          <w:bookmarkStart w:id="42" w:name="_CTVL001e88680171548410f8af4d34239bac8b6"/>
          <w:r w:rsidRPr="002C4D6B">
            <w:rPr>
              <w:rFonts w:cstheme="minorHAnsi"/>
            </w:rPr>
            <w:lastRenderedPageBreak/>
            <w:t>Kochan, C., Nowicki, D. R., Sauser, B., &amp; Randall, W. S. (2018). Impact of cloud-based information sharing on hospital supply chain performance: A system dynamics framework.</w:t>
          </w:r>
          <w:bookmarkEnd w:id="42"/>
          <w:r w:rsidRPr="002C4D6B">
            <w:rPr>
              <w:rFonts w:cstheme="minorHAnsi"/>
            </w:rPr>
            <w:t xml:space="preserve"> </w:t>
          </w:r>
          <w:r w:rsidRPr="002C4D6B">
            <w:rPr>
              <w:rFonts w:cstheme="minorHAnsi"/>
              <w:i/>
            </w:rPr>
            <w:t>International Journal of Production Economics</w:t>
          </w:r>
          <w:r w:rsidRPr="002C4D6B">
            <w:rPr>
              <w:rFonts w:cstheme="minorHAnsi"/>
            </w:rPr>
            <w:t xml:space="preserve">, </w:t>
          </w:r>
          <w:r w:rsidRPr="002C4D6B">
            <w:rPr>
              <w:rFonts w:cstheme="minorHAnsi"/>
              <w:i/>
            </w:rPr>
            <w:t>195</w:t>
          </w:r>
          <w:r w:rsidRPr="002C4D6B">
            <w:rPr>
              <w:rFonts w:cstheme="minorHAnsi"/>
            </w:rPr>
            <w:t>, 168–185. https://doi.org/10.1016/j.ijpe.2017.10.008</w:t>
          </w:r>
        </w:p>
        <w:p w14:paraId="1DD0B43F" w14:textId="77777777" w:rsidR="00FA26CE" w:rsidRPr="002C4D6B" w:rsidRDefault="00FA26CE" w:rsidP="00FA26CE">
          <w:pPr>
            <w:pStyle w:val="CitaviBibliographyEntry"/>
            <w:spacing w:line="240" w:lineRule="auto"/>
            <w:rPr>
              <w:rFonts w:cstheme="minorHAnsi"/>
            </w:rPr>
          </w:pPr>
          <w:bookmarkStart w:id="43" w:name="_CTVL00181c0772e58d14a7f93add92d10d73109"/>
          <w:r w:rsidRPr="002C4D6B">
            <w:rPr>
              <w:rFonts w:cstheme="minorHAnsi"/>
              <w:lang w:val="de-DE"/>
            </w:rPr>
            <w:t xml:space="preserve">Kousi, N., Koukas, S., Michalos, G., &amp; Makris, S. (2019). </w:t>
          </w:r>
          <w:r w:rsidRPr="002C4D6B">
            <w:rPr>
              <w:rFonts w:cstheme="minorHAnsi"/>
            </w:rPr>
            <w:t>Scheduling of smart intra - factory material supply operations using mobile robots.</w:t>
          </w:r>
          <w:bookmarkEnd w:id="43"/>
          <w:r w:rsidRPr="002C4D6B">
            <w:rPr>
              <w:rFonts w:cstheme="minorHAnsi"/>
            </w:rPr>
            <w:t xml:space="preserve"> </w:t>
          </w:r>
          <w:r w:rsidRPr="002C4D6B">
            <w:rPr>
              <w:rFonts w:cstheme="minorHAnsi"/>
              <w:i/>
            </w:rPr>
            <w:t>International Journal of Production Research</w:t>
          </w:r>
          <w:r w:rsidRPr="002C4D6B">
            <w:rPr>
              <w:rFonts w:cstheme="minorHAnsi"/>
            </w:rPr>
            <w:t xml:space="preserve">, </w:t>
          </w:r>
          <w:r w:rsidRPr="002C4D6B">
            <w:rPr>
              <w:rFonts w:cstheme="minorHAnsi"/>
              <w:i/>
            </w:rPr>
            <w:t>57</w:t>
          </w:r>
          <w:r w:rsidRPr="002C4D6B">
            <w:rPr>
              <w:rFonts w:cstheme="minorHAnsi"/>
            </w:rPr>
            <w:t>(3), 801–814. https://doi.org/10.1080/00207543.2018.1483587</w:t>
          </w:r>
        </w:p>
        <w:p w14:paraId="6A9FA415" w14:textId="77777777" w:rsidR="00FA26CE" w:rsidRPr="002C4D6B" w:rsidRDefault="00FA26CE" w:rsidP="00FA26CE">
          <w:pPr>
            <w:pStyle w:val="CitaviBibliographyEntry"/>
            <w:spacing w:line="240" w:lineRule="auto"/>
            <w:rPr>
              <w:rFonts w:cstheme="minorHAnsi"/>
            </w:rPr>
          </w:pPr>
          <w:bookmarkStart w:id="44" w:name="_CTVL0013250c8f142c64230add3845d2fc5b7cd"/>
          <w:r w:rsidRPr="002C4D6B">
            <w:rPr>
              <w:rFonts w:cstheme="minorHAnsi"/>
            </w:rPr>
            <w:t>Kusiak, A. (2018). Smart manufacturing.</w:t>
          </w:r>
          <w:bookmarkEnd w:id="44"/>
          <w:r w:rsidRPr="002C4D6B">
            <w:rPr>
              <w:rFonts w:cstheme="minorHAnsi"/>
            </w:rPr>
            <w:t xml:space="preserve"> </w:t>
          </w:r>
          <w:r w:rsidRPr="002C4D6B">
            <w:rPr>
              <w:rFonts w:cstheme="minorHAnsi"/>
              <w:i/>
            </w:rPr>
            <w:t>International Journal of Production Research</w:t>
          </w:r>
          <w:r w:rsidRPr="002C4D6B">
            <w:rPr>
              <w:rFonts w:cstheme="minorHAnsi"/>
            </w:rPr>
            <w:t xml:space="preserve">, </w:t>
          </w:r>
          <w:r w:rsidRPr="002C4D6B">
            <w:rPr>
              <w:rFonts w:cstheme="minorHAnsi"/>
              <w:i/>
            </w:rPr>
            <w:t>56</w:t>
          </w:r>
          <w:r w:rsidRPr="002C4D6B">
            <w:rPr>
              <w:rFonts w:cstheme="minorHAnsi"/>
            </w:rPr>
            <w:t>(1-2), 508–517. https://doi.org/10.1080/00207543.2017.1351644</w:t>
          </w:r>
        </w:p>
        <w:p w14:paraId="0966B99C" w14:textId="77777777" w:rsidR="00FA26CE" w:rsidRPr="002C4D6B" w:rsidRDefault="00FA26CE" w:rsidP="00FA26CE">
          <w:pPr>
            <w:pStyle w:val="CitaviBibliographyEntry"/>
            <w:spacing w:line="240" w:lineRule="auto"/>
            <w:rPr>
              <w:rFonts w:cstheme="minorHAnsi"/>
            </w:rPr>
          </w:pPr>
          <w:bookmarkStart w:id="45" w:name="_CTVL001fda64ec664244549afaf1e3a5cb2df01"/>
          <w:r w:rsidRPr="002C4D6B">
            <w:rPr>
              <w:rFonts w:cstheme="minorHAnsi"/>
            </w:rPr>
            <w:t>Lee, C., Lv, Y., Ng, K., Ho, W., &amp; Choy, K. L. (2018). Design and application of Internet of things-based warehouse management system for smart logistics.</w:t>
          </w:r>
          <w:bookmarkEnd w:id="45"/>
          <w:r w:rsidRPr="002C4D6B">
            <w:rPr>
              <w:rFonts w:cstheme="minorHAnsi"/>
            </w:rPr>
            <w:t xml:space="preserve"> </w:t>
          </w:r>
          <w:r w:rsidRPr="002C4D6B">
            <w:rPr>
              <w:rFonts w:cstheme="minorHAnsi"/>
              <w:i/>
            </w:rPr>
            <w:t>International Journal of Production Research</w:t>
          </w:r>
          <w:r w:rsidRPr="002C4D6B">
            <w:rPr>
              <w:rFonts w:cstheme="minorHAnsi"/>
            </w:rPr>
            <w:t xml:space="preserve">, </w:t>
          </w:r>
          <w:r w:rsidRPr="002C4D6B">
            <w:rPr>
              <w:rFonts w:cstheme="minorHAnsi"/>
              <w:i/>
            </w:rPr>
            <w:t>56</w:t>
          </w:r>
          <w:r w:rsidRPr="002C4D6B">
            <w:rPr>
              <w:rFonts w:cstheme="minorHAnsi"/>
            </w:rPr>
            <w:t>(8), 2753–2768. https://doi.org/10.1080/00207543.2017.1394592</w:t>
          </w:r>
        </w:p>
        <w:p w14:paraId="44EB5270" w14:textId="77777777" w:rsidR="00FA26CE" w:rsidRPr="002C4D6B" w:rsidRDefault="00FA26CE" w:rsidP="00FA26CE">
          <w:pPr>
            <w:pStyle w:val="CitaviBibliographyEntry"/>
            <w:spacing w:line="240" w:lineRule="auto"/>
            <w:rPr>
              <w:rFonts w:cstheme="minorHAnsi"/>
            </w:rPr>
          </w:pPr>
          <w:bookmarkStart w:id="46" w:name="_CTVL001bba85e959c5447b3ac947e6f9765cfa5"/>
          <w:r w:rsidRPr="002C4D6B">
            <w:rPr>
              <w:rFonts w:cstheme="minorHAnsi"/>
            </w:rPr>
            <w:t>Lee, S., Kang, Y., &amp; Prabhu, V. V. (2016). Smart logistics: distributed control of green crowdsourced parcel services.</w:t>
          </w:r>
          <w:bookmarkEnd w:id="46"/>
          <w:r w:rsidRPr="002C4D6B">
            <w:rPr>
              <w:rFonts w:cstheme="minorHAnsi"/>
            </w:rPr>
            <w:t xml:space="preserve"> </w:t>
          </w:r>
          <w:r w:rsidRPr="002C4D6B">
            <w:rPr>
              <w:rFonts w:cstheme="minorHAnsi"/>
              <w:i/>
            </w:rPr>
            <w:t>International Journal of Production Research</w:t>
          </w:r>
          <w:r w:rsidRPr="002C4D6B">
            <w:rPr>
              <w:rFonts w:cstheme="minorHAnsi"/>
            </w:rPr>
            <w:t xml:space="preserve">, </w:t>
          </w:r>
          <w:r w:rsidRPr="002C4D6B">
            <w:rPr>
              <w:rFonts w:cstheme="minorHAnsi"/>
              <w:i/>
            </w:rPr>
            <w:t>54</w:t>
          </w:r>
          <w:r w:rsidRPr="002C4D6B">
            <w:rPr>
              <w:rFonts w:cstheme="minorHAnsi"/>
            </w:rPr>
            <w:t>(23), 6956–6968. https://doi.org/10.1080/00207543.2015.1132856</w:t>
          </w:r>
        </w:p>
        <w:p w14:paraId="12C67871" w14:textId="77777777" w:rsidR="00FA26CE" w:rsidRPr="002C4D6B" w:rsidRDefault="00FA26CE" w:rsidP="00FA26CE">
          <w:pPr>
            <w:pStyle w:val="CitaviBibliographyEntry"/>
            <w:spacing w:line="240" w:lineRule="auto"/>
            <w:rPr>
              <w:rFonts w:cstheme="minorHAnsi"/>
            </w:rPr>
          </w:pPr>
          <w:bookmarkStart w:id="47" w:name="_CTVL001c0d06d094ce84e5bac29c39ab3b326eb"/>
          <w:r w:rsidRPr="002C4D6B">
            <w:rPr>
              <w:rFonts w:cstheme="minorHAnsi"/>
            </w:rPr>
            <w:t>Leofante, F., Ábrahám, E., Niemueller, T., Lakemeyer, G., &amp; Tacchella, A. (2019). Integrated Synthesis and Execution of Optimal Plans for Multi-Robot Systems in Logistics.</w:t>
          </w:r>
          <w:bookmarkEnd w:id="47"/>
          <w:r w:rsidRPr="002C4D6B">
            <w:rPr>
              <w:rFonts w:cstheme="minorHAnsi"/>
            </w:rPr>
            <w:t xml:space="preserve"> </w:t>
          </w:r>
          <w:r w:rsidRPr="002C4D6B">
            <w:rPr>
              <w:rFonts w:cstheme="minorHAnsi"/>
              <w:i/>
            </w:rPr>
            <w:t>Information Systems Frontiers</w:t>
          </w:r>
          <w:r w:rsidRPr="002C4D6B">
            <w:rPr>
              <w:rFonts w:cstheme="minorHAnsi"/>
            </w:rPr>
            <w:t xml:space="preserve">, </w:t>
          </w:r>
          <w:r w:rsidRPr="002C4D6B">
            <w:rPr>
              <w:rFonts w:cstheme="minorHAnsi"/>
              <w:i/>
            </w:rPr>
            <w:t>21</w:t>
          </w:r>
          <w:r w:rsidRPr="002C4D6B">
            <w:rPr>
              <w:rFonts w:cstheme="minorHAnsi"/>
            </w:rPr>
            <w:t>(1), 87–107. https://doi.org/10.1007/s10796-018-9858-3</w:t>
          </w:r>
        </w:p>
        <w:p w14:paraId="63075426" w14:textId="77777777" w:rsidR="00FA26CE" w:rsidRPr="002C4D6B" w:rsidRDefault="00FA26CE" w:rsidP="00FA26CE">
          <w:pPr>
            <w:pStyle w:val="CitaviBibliographyEntry"/>
            <w:spacing w:line="240" w:lineRule="auto"/>
            <w:rPr>
              <w:rFonts w:cstheme="minorHAnsi"/>
            </w:rPr>
          </w:pPr>
          <w:bookmarkStart w:id="48" w:name="_CTVL0015bc0901fc2334a73a7b3748dd80ad9a0"/>
          <w:r w:rsidRPr="002C4D6B">
            <w:rPr>
              <w:rFonts w:cstheme="minorHAnsi"/>
            </w:rPr>
            <w:t>Margherita, E. G., &amp; Braccini, A. M. (2020). Industry 4.0 Technologies in Flexible Manufacturing for Sustainable Organizational Value: Reflections from a Multiple Case Study of Italian Manufacturers.</w:t>
          </w:r>
          <w:bookmarkEnd w:id="48"/>
          <w:r w:rsidRPr="002C4D6B">
            <w:rPr>
              <w:rFonts w:cstheme="minorHAnsi"/>
            </w:rPr>
            <w:t xml:space="preserve"> </w:t>
          </w:r>
          <w:r w:rsidRPr="002C4D6B">
            <w:rPr>
              <w:rFonts w:cstheme="minorHAnsi"/>
              <w:i/>
            </w:rPr>
            <w:t xml:space="preserve">Information Systems Frontiers. </w:t>
          </w:r>
          <w:r w:rsidRPr="002C4D6B">
            <w:rPr>
              <w:rFonts w:cstheme="minorHAnsi"/>
            </w:rPr>
            <w:t>Advance online publication. https://doi.org/10.1007/s10796-020-10047-y</w:t>
          </w:r>
        </w:p>
        <w:p w14:paraId="2B34327D" w14:textId="77777777" w:rsidR="00FA26CE" w:rsidRPr="002C4D6B" w:rsidRDefault="00FA26CE" w:rsidP="00FA26CE">
          <w:pPr>
            <w:pStyle w:val="CitaviBibliographyEntry"/>
            <w:spacing w:line="240" w:lineRule="auto"/>
            <w:rPr>
              <w:rFonts w:cstheme="minorHAnsi"/>
            </w:rPr>
          </w:pPr>
          <w:bookmarkStart w:id="49" w:name="_CTVL001b00a656e6a2d4b78bac5f3840dca816f"/>
          <w:r w:rsidRPr="002C4D6B">
            <w:rPr>
              <w:rFonts w:cstheme="minorHAnsi"/>
            </w:rPr>
            <w:t>Massimino, B., Gray, J. V., &amp; Lan, Y. (2018). On the Inattention to Digital Confidentiality in Operations and Supply Chain Research.</w:t>
          </w:r>
          <w:bookmarkEnd w:id="49"/>
          <w:r w:rsidRPr="002C4D6B">
            <w:rPr>
              <w:rFonts w:cstheme="minorHAnsi"/>
            </w:rPr>
            <w:t xml:space="preserve"> </w:t>
          </w:r>
          <w:r w:rsidRPr="002C4D6B">
            <w:rPr>
              <w:rFonts w:cstheme="minorHAnsi"/>
              <w:i/>
            </w:rPr>
            <w:t>Production and Operations Management</w:t>
          </w:r>
          <w:r w:rsidRPr="002C4D6B">
            <w:rPr>
              <w:rFonts w:cstheme="minorHAnsi"/>
            </w:rPr>
            <w:t xml:space="preserve">, </w:t>
          </w:r>
          <w:r w:rsidRPr="002C4D6B">
            <w:rPr>
              <w:rFonts w:cstheme="minorHAnsi"/>
              <w:i/>
            </w:rPr>
            <w:t>27</w:t>
          </w:r>
          <w:r w:rsidRPr="002C4D6B">
            <w:rPr>
              <w:rFonts w:cstheme="minorHAnsi"/>
            </w:rPr>
            <w:t>(8), 1492–1515. https://doi.org/10.1111/poms.12879</w:t>
          </w:r>
        </w:p>
        <w:p w14:paraId="0C81A27B" w14:textId="77777777" w:rsidR="00FA26CE" w:rsidRPr="002C4D6B" w:rsidRDefault="00FA26CE" w:rsidP="00FA26CE">
          <w:pPr>
            <w:pStyle w:val="CitaviBibliographyEntry"/>
            <w:spacing w:line="240" w:lineRule="auto"/>
            <w:rPr>
              <w:rFonts w:cstheme="minorHAnsi"/>
            </w:rPr>
          </w:pPr>
          <w:bookmarkStart w:id="50" w:name="_CTVL001c424e6fd813b4930b24ee5aaf2579181"/>
          <w:r w:rsidRPr="002C4D6B">
            <w:rPr>
              <w:rFonts w:cstheme="minorHAnsi"/>
            </w:rPr>
            <w:t>Meindl, B., Ayala, N. F [Néstor Fabián], Mendonça, J., &amp; Frank, A. G. (2021). The four smarts of Industry 4.0: Evolution of ten years of research and future perspectives.</w:t>
          </w:r>
          <w:bookmarkEnd w:id="50"/>
          <w:r w:rsidRPr="002C4D6B">
            <w:rPr>
              <w:rFonts w:cstheme="minorHAnsi"/>
            </w:rPr>
            <w:t xml:space="preserve"> </w:t>
          </w:r>
          <w:r w:rsidRPr="002C4D6B">
            <w:rPr>
              <w:rFonts w:cstheme="minorHAnsi"/>
              <w:i/>
            </w:rPr>
            <w:t>Technological Forecasting and Social Change</w:t>
          </w:r>
          <w:r w:rsidRPr="002C4D6B">
            <w:rPr>
              <w:rFonts w:cstheme="minorHAnsi"/>
            </w:rPr>
            <w:t xml:space="preserve">, </w:t>
          </w:r>
          <w:r w:rsidRPr="002C4D6B">
            <w:rPr>
              <w:rFonts w:cstheme="minorHAnsi"/>
              <w:i/>
            </w:rPr>
            <w:t>168</w:t>
          </w:r>
          <w:r w:rsidRPr="002C4D6B">
            <w:rPr>
              <w:rFonts w:cstheme="minorHAnsi"/>
            </w:rPr>
            <w:t>, 120784. https://doi.org/10.1016/j.techfore.2021.120784</w:t>
          </w:r>
        </w:p>
        <w:p w14:paraId="6442FD95" w14:textId="77777777" w:rsidR="00FA26CE" w:rsidRPr="002C4D6B" w:rsidRDefault="00FA26CE" w:rsidP="00FA26CE">
          <w:pPr>
            <w:pStyle w:val="CitaviBibliographyEntry"/>
            <w:spacing w:line="240" w:lineRule="auto"/>
            <w:rPr>
              <w:rFonts w:cstheme="minorHAnsi"/>
              <w:i/>
            </w:rPr>
          </w:pPr>
          <w:bookmarkStart w:id="51" w:name="_CTVL001edbc1aff16dd4db3880398c225b3b7db"/>
          <w:r w:rsidRPr="002C4D6B">
            <w:rPr>
              <w:rFonts w:cstheme="minorHAnsi"/>
            </w:rPr>
            <w:t>Miebach Consulting GmbH. (2018).</w:t>
          </w:r>
          <w:bookmarkEnd w:id="51"/>
          <w:r w:rsidRPr="002C4D6B">
            <w:rPr>
              <w:rFonts w:cstheme="minorHAnsi"/>
            </w:rPr>
            <w:t xml:space="preserve"> </w:t>
          </w:r>
          <w:r w:rsidRPr="002C4D6B">
            <w:rPr>
              <w:rFonts w:cstheme="minorHAnsi"/>
              <w:i/>
            </w:rPr>
            <w:t xml:space="preserve">The Potential of Digitalization in Logistics and Production. </w:t>
          </w:r>
        </w:p>
        <w:p w14:paraId="7907201B" w14:textId="77777777" w:rsidR="00FA26CE" w:rsidRPr="002C4D6B" w:rsidRDefault="00FA26CE" w:rsidP="00FA26CE">
          <w:pPr>
            <w:pStyle w:val="CitaviBibliographyEntry"/>
            <w:spacing w:line="240" w:lineRule="auto"/>
            <w:rPr>
              <w:rFonts w:cstheme="minorHAnsi"/>
            </w:rPr>
          </w:pPr>
          <w:bookmarkStart w:id="52" w:name="_CTVL0014f813e5f08994adfb54f63ad35de4197"/>
          <w:r w:rsidRPr="002C4D6B">
            <w:rPr>
              <w:rFonts w:cstheme="minorHAnsi"/>
            </w:rPr>
            <w:t>Morenza-Cinos, M., Casamayor-Pujol, V., &amp; Pous, R. (2019). Stock visibility for retail using an RFID robot.</w:t>
          </w:r>
          <w:bookmarkEnd w:id="52"/>
          <w:r w:rsidRPr="002C4D6B">
            <w:rPr>
              <w:rFonts w:cstheme="minorHAnsi"/>
            </w:rPr>
            <w:t xml:space="preserve"> </w:t>
          </w:r>
          <w:r w:rsidRPr="002C4D6B">
            <w:rPr>
              <w:rFonts w:cstheme="minorHAnsi"/>
              <w:i/>
            </w:rPr>
            <w:t>International Journal of Physical Distribution &amp; Logistics Management</w:t>
          </w:r>
          <w:r w:rsidRPr="002C4D6B">
            <w:rPr>
              <w:rFonts w:cstheme="minorHAnsi"/>
            </w:rPr>
            <w:t xml:space="preserve">, </w:t>
          </w:r>
          <w:r w:rsidRPr="002C4D6B">
            <w:rPr>
              <w:rFonts w:cstheme="minorHAnsi"/>
              <w:i/>
            </w:rPr>
            <w:t>49</w:t>
          </w:r>
          <w:r w:rsidRPr="002C4D6B">
            <w:rPr>
              <w:rFonts w:cstheme="minorHAnsi"/>
            </w:rPr>
            <w:t>(10), 1020–1042. https://doi.org/10.1108/IJPDLM-03-2018-0151</w:t>
          </w:r>
        </w:p>
        <w:p w14:paraId="2167A9FD" w14:textId="77777777" w:rsidR="00FA26CE" w:rsidRPr="002C4D6B" w:rsidRDefault="00FA26CE" w:rsidP="00FA26CE">
          <w:pPr>
            <w:pStyle w:val="CitaviBibliographyEntry"/>
            <w:spacing w:line="240" w:lineRule="auto"/>
            <w:rPr>
              <w:rFonts w:cstheme="minorHAnsi"/>
            </w:rPr>
          </w:pPr>
          <w:bookmarkStart w:id="53" w:name="_CTVL0010789fa41c4ef4ae7a1aa5d251c45167d"/>
          <w:r w:rsidRPr="002C4D6B">
            <w:rPr>
              <w:rFonts w:cstheme="minorHAnsi"/>
            </w:rPr>
            <w:t>Nabelsi, V., &amp; Gagnon, S. (2017). Information technology strategy for a patient-oriented, lean, and agile integration of hospital pharmacy and medical equipment supply chains.</w:t>
          </w:r>
          <w:bookmarkEnd w:id="53"/>
          <w:r w:rsidRPr="002C4D6B">
            <w:rPr>
              <w:rFonts w:cstheme="minorHAnsi"/>
            </w:rPr>
            <w:t xml:space="preserve"> </w:t>
          </w:r>
          <w:r w:rsidRPr="002C4D6B">
            <w:rPr>
              <w:rFonts w:cstheme="minorHAnsi"/>
              <w:i/>
            </w:rPr>
            <w:t>International Journal of Production Research</w:t>
          </w:r>
          <w:r w:rsidRPr="002C4D6B">
            <w:rPr>
              <w:rFonts w:cstheme="minorHAnsi"/>
            </w:rPr>
            <w:t xml:space="preserve">, </w:t>
          </w:r>
          <w:r w:rsidRPr="002C4D6B">
            <w:rPr>
              <w:rFonts w:cstheme="minorHAnsi"/>
              <w:i/>
            </w:rPr>
            <w:t>55</w:t>
          </w:r>
          <w:r w:rsidRPr="002C4D6B">
            <w:rPr>
              <w:rFonts w:cstheme="minorHAnsi"/>
            </w:rPr>
            <w:t>(14), 3929–3945. https://doi.org/10.1080/00207543.2016.1218082</w:t>
          </w:r>
        </w:p>
        <w:p w14:paraId="20F12441" w14:textId="77777777" w:rsidR="00FA26CE" w:rsidRPr="002C4D6B" w:rsidRDefault="00FA26CE" w:rsidP="00FA26CE">
          <w:pPr>
            <w:pStyle w:val="CitaviBibliographyEntry"/>
            <w:spacing w:line="240" w:lineRule="auto"/>
            <w:rPr>
              <w:rFonts w:cstheme="minorHAnsi"/>
            </w:rPr>
          </w:pPr>
          <w:bookmarkStart w:id="54" w:name="_CTVL00138dd1d6e7d344923833de0b656d34871"/>
          <w:r w:rsidRPr="002C4D6B">
            <w:rPr>
              <w:rFonts w:cstheme="minorHAnsi"/>
            </w:rPr>
            <w:t>Nayernia, H., Bahemia, H., &amp; Papagiannidis, S. (2022). A systematic review of the implementation of industry 4.0 from the organisational perspective.</w:t>
          </w:r>
          <w:bookmarkEnd w:id="54"/>
          <w:r w:rsidRPr="002C4D6B">
            <w:rPr>
              <w:rFonts w:cstheme="minorHAnsi"/>
            </w:rPr>
            <w:t xml:space="preserve"> </w:t>
          </w:r>
          <w:r w:rsidRPr="002C4D6B">
            <w:rPr>
              <w:rFonts w:cstheme="minorHAnsi"/>
              <w:i/>
            </w:rPr>
            <w:t>International Journal of Production Research</w:t>
          </w:r>
          <w:r w:rsidRPr="002C4D6B">
            <w:rPr>
              <w:rFonts w:cstheme="minorHAnsi"/>
            </w:rPr>
            <w:t xml:space="preserve">, </w:t>
          </w:r>
          <w:r w:rsidRPr="002C4D6B">
            <w:rPr>
              <w:rFonts w:cstheme="minorHAnsi"/>
              <w:i/>
            </w:rPr>
            <w:t>60</w:t>
          </w:r>
          <w:r w:rsidRPr="002C4D6B">
            <w:rPr>
              <w:rFonts w:cstheme="minorHAnsi"/>
            </w:rPr>
            <w:t>(14), 4365–4396. https://doi.org/10.1080/00207543.2021.2002964</w:t>
          </w:r>
        </w:p>
        <w:p w14:paraId="5E08A72E" w14:textId="77777777" w:rsidR="00FA26CE" w:rsidRPr="002C4D6B" w:rsidRDefault="00FA26CE" w:rsidP="00FA26CE">
          <w:pPr>
            <w:pStyle w:val="CitaviBibliographyEntry"/>
            <w:spacing w:line="240" w:lineRule="auto"/>
            <w:rPr>
              <w:rFonts w:cstheme="minorHAnsi"/>
            </w:rPr>
          </w:pPr>
          <w:bookmarkStart w:id="55" w:name="_CTVL001dddd3d86aeec4b0ab74b4737684b9738"/>
          <w:r w:rsidRPr="002C4D6B">
            <w:rPr>
              <w:rFonts w:cstheme="minorHAnsi"/>
            </w:rPr>
            <w:t>Núñez-Merino, M., Maqueira-Marín, J. M [Juan Manuel], Moyano-Fuentes, J., &amp; Martínez-Jurado, P. J. (2020). Information and digital technologies of Industry 4.0 and Lean supply chain management: a systematic literature review.</w:t>
          </w:r>
          <w:bookmarkEnd w:id="55"/>
          <w:r w:rsidRPr="002C4D6B">
            <w:rPr>
              <w:rFonts w:cstheme="minorHAnsi"/>
            </w:rPr>
            <w:t xml:space="preserve"> </w:t>
          </w:r>
          <w:r w:rsidRPr="002C4D6B">
            <w:rPr>
              <w:rFonts w:cstheme="minorHAnsi"/>
              <w:i/>
            </w:rPr>
            <w:t>International Journal of Production Research</w:t>
          </w:r>
          <w:r w:rsidRPr="002C4D6B">
            <w:rPr>
              <w:rFonts w:cstheme="minorHAnsi"/>
            </w:rPr>
            <w:t xml:space="preserve">, </w:t>
          </w:r>
          <w:r w:rsidRPr="002C4D6B">
            <w:rPr>
              <w:rFonts w:cstheme="minorHAnsi"/>
              <w:i/>
            </w:rPr>
            <w:t>58</w:t>
          </w:r>
          <w:r w:rsidRPr="002C4D6B">
            <w:rPr>
              <w:rFonts w:cstheme="minorHAnsi"/>
            </w:rPr>
            <w:t>(16), 5034–5061. https://doi.org/10.1080/00207543.2020.1743896</w:t>
          </w:r>
        </w:p>
        <w:p w14:paraId="0D027A30" w14:textId="77777777" w:rsidR="00FA26CE" w:rsidRPr="002C4D6B" w:rsidRDefault="00FA26CE" w:rsidP="00FA26CE">
          <w:pPr>
            <w:pStyle w:val="CitaviBibliographyEntry"/>
            <w:spacing w:line="240" w:lineRule="auto"/>
            <w:rPr>
              <w:rFonts w:cstheme="minorHAnsi"/>
            </w:rPr>
          </w:pPr>
          <w:bookmarkStart w:id="56" w:name="_CTVL00122b5a4fbae2d45a6bc7433d0efc86c13"/>
          <w:r w:rsidRPr="002C4D6B">
            <w:rPr>
              <w:rFonts w:cstheme="minorHAnsi"/>
            </w:rPr>
            <w:t>Oliveira, M. P. V. de, &amp; Handfield, R. (2019). Analytical foundations for development of real-time supply chain capabilities.</w:t>
          </w:r>
          <w:bookmarkEnd w:id="56"/>
          <w:r w:rsidRPr="002C4D6B">
            <w:rPr>
              <w:rFonts w:cstheme="minorHAnsi"/>
            </w:rPr>
            <w:t xml:space="preserve"> </w:t>
          </w:r>
          <w:r w:rsidRPr="002C4D6B">
            <w:rPr>
              <w:rFonts w:cstheme="minorHAnsi"/>
              <w:i/>
            </w:rPr>
            <w:t>International Journal of Production Research</w:t>
          </w:r>
          <w:r w:rsidRPr="002C4D6B">
            <w:rPr>
              <w:rFonts w:cstheme="minorHAnsi"/>
            </w:rPr>
            <w:t xml:space="preserve">, </w:t>
          </w:r>
          <w:r w:rsidRPr="002C4D6B">
            <w:rPr>
              <w:rFonts w:cstheme="minorHAnsi"/>
              <w:i/>
            </w:rPr>
            <w:t>57</w:t>
          </w:r>
          <w:r w:rsidRPr="002C4D6B">
            <w:rPr>
              <w:rFonts w:cstheme="minorHAnsi"/>
            </w:rPr>
            <w:t>(5), 1571–1589. https://doi.org/10.1080/00207543.2018.1493240</w:t>
          </w:r>
        </w:p>
        <w:p w14:paraId="33163B2F" w14:textId="77777777" w:rsidR="00FA26CE" w:rsidRPr="002C4D6B" w:rsidRDefault="00FA26CE" w:rsidP="00FA26CE">
          <w:pPr>
            <w:pStyle w:val="CitaviBibliographyEntry"/>
            <w:spacing w:line="240" w:lineRule="auto"/>
            <w:rPr>
              <w:rFonts w:cstheme="minorHAnsi"/>
            </w:rPr>
          </w:pPr>
          <w:bookmarkStart w:id="57" w:name="_CTVL0017c92654244274203a5d8c2f5bd625394"/>
          <w:r w:rsidRPr="002C4D6B">
            <w:rPr>
              <w:rFonts w:cstheme="minorHAnsi"/>
            </w:rPr>
            <w:t>Oliveira-Dias, D., Maqueira-Marín, J. M [Juan M.], &amp; Moyano-Fuentes, J. (2022). The link between information and digital technologies of industry 4.0 and agile supply chain: Mapping current research and establishing new research avenues.</w:t>
          </w:r>
          <w:bookmarkEnd w:id="57"/>
          <w:r w:rsidRPr="002C4D6B">
            <w:rPr>
              <w:rFonts w:cstheme="minorHAnsi"/>
            </w:rPr>
            <w:t xml:space="preserve"> </w:t>
          </w:r>
          <w:r w:rsidRPr="002C4D6B">
            <w:rPr>
              <w:rFonts w:cstheme="minorHAnsi"/>
              <w:i/>
            </w:rPr>
            <w:t>Computers &amp; Industrial Engineering</w:t>
          </w:r>
          <w:r w:rsidRPr="002C4D6B">
            <w:rPr>
              <w:rFonts w:cstheme="minorHAnsi"/>
            </w:rPr>
            <w:t xml:space="preserve">, </w:t>
          </w:r>
          <w:r w:rsidRPr="002C4D6B">
            <w:rPr>
              <w:rFonts w:cstheme="minorHAnsi"/>
              <w:i/>
            </w:rPr>
            <w:t>167</w:t>
          </w:r>
          <w:r w:rsidRPr="002C4D6B">
            <w:rPr>
              <w:rFonts w:cstheme="minorHAnsi"/>
            </w:rPr>
            <w:t>, 108000. https://doi.org/10.1016/j.cie.2022.108000</w:t>
          </w:r>
        </w:p>
        <w:p w14:paraId="76E9594E" w14:textId="77777777" w:rsidR="00FA26CE" w:rsidRPr="002C4D6B" w:rsidRDefault="00FA26CE" w:rsidP="00FA26CE">
          <w:pPr>
            <w:pStyle w:val="CitaviBibliographyEntry"/>
            <w:spacing w:line="240" w:lineRule="auto"/>
            <w:rPr>
              <w:rFonts w:cstheme="minorHAnsi"/>
            </w:rPr>
          </w:pPr>
          <w:bookmarkStart w:id="58" w:name="_CTVL0012af8b349ebdf436393b4d25bff4af4aa"/>
          <w:r w:rsidRPr="002C4D6B">
            <w:rPr>
              <w:rFonts w:cstheme="minorHAnsi"/>
            </w:rPr>
            <w:t>Onal, S., Zhang, J., &amp; Das, S. (2017). Modelling and performance evaluation of explosive storage policies in internet fulfilment warehouses.</w:t>
          </w:r>
          <w:bookmarkEnd w:id="58"/>
          <w:r w:rsidRPr="002C4D6B">
            <w:rPr>
              <w:rFonts w:cstheme="minorHAnsi"/>
            </w:rPr>
            <w:t xml:space="preserve"> </w:t>
          </w:r>
          <w:r w:rsidRPr="002C4D6B">
            <w:rPr>
              <w:rFonts w:cstheme="minorHAnsi"/>
              <w:i/>
            </w:rPr>
            <w:t>International Journal of Production Research</w:t>
          </w:r>
          <w:r w:rsidRPr="002C4D6B">
            <w:rPr>
              <w:rFonts w:cstheme="minorHAnsi"/>
            </w:rPr>
            <w:t xml:space="preserve">, </w:t>
          </w:r>
          <w:r w:rsidRPr="002C4D6B">
            <w:rPr>
              <w:rFonts w:cstheme="minorHAnsi"/>
              <w:i/>
            </w:rPr>
            <w:t>55</w:t>
          </w:r>
          <w:r w:rsidRPr="002C4D6B">
            <w:rPr>
              <w:rFonts w:cstheme="minorHAnsi"/>
            </w:rPr>
            <w:t>(20), 5902–5915. https://doi.org/10.1080/00207543.2017.1304663</w:t>
          </w:r>
        </w:p>
        <w:p w14:paraId="7114005E" w14:textId="77777777" w:rsidR="00FA26CE" w:rsidRPr="002C4D6B" w:rsidRDefault="00FA26CE" w:rsidP="00FA26CE">
          <w:pPr>
            <w:pStyle w:val="CitaviBibliographyEntry"/>
            <w:spacing w:line="240" w:lineRule="auto"/>
            <w:rPr>
              <w:rFonts w:cstheme="minorHAnsi"/>
            </w:rPr>
          </w:pPr>
          <w:bookmarkStart w:id="59" w:name="_CTVL001c0835282cbd24c00ab07a18fefbaf32a"/>
          <w:r w:rsidRPr="002C4D6B">
            <w:rPr>
              <w:rFonts w:cstheme="minorHAnsi"/>
            </w:rPr>
            <w:t>Park, K. T., Son, Y. H., &amp; Noh, S. D. (2021). The architectural framework of a cyber physical logistics system for digital-twin-based supply chain control.</w:t>
          </w:r>
          <w:bookmarkEnd w:id="59"/>
          <w:r w:rsidRPr="002C4D6B">
            <w:rPr>
              <w:rFonts w:cstheme="minorHAnsi"/>
            </w:rPr>
            <w:t xml:space="preserve"> </w:t>
          </w:r>
          <w:r w:rsidRPr="002C4D6B">
            <w:rPr>
              <w:rFonts w:cstheme="minorHAnsi"/>
              <w:i/>
            </w:rPr>
            <w:t>International Journal of Production Research</w:t>
          </w:r>
          <w:r w:rsidRPr="002C4D6B">
            <w:rPr>
              <w:rFonts w:cstheme="minorHAnsi"/>
            </w:rPr>
            <w:t xml:space="preserve">, </w:t>
          </w:r>
          <w:r w:rsidRPr="002C4D6B">
            <w:rPr>
              <w:rFonts w:cstheme="minorHAnsi"/>
              <w:i/>
            </w:rPr>
            <w:t>59</w:t>
          </w:r>
          <w:r w:rsidRPr="002C4D6B">
            <w:rPr>
              <w:rFonts w:cstheme="minorHAnsi"/>
            </w:rPr>
            <w:t>(19), 5721–5742. https://doi.org/10.1080/00207543.2020.1788738</w:t>
          </w:r>
        </w:p>
        <w:p w14:paraId="275EF9BB" w14:textId="77777777" w:rsidR="00FA26CE" w:rsidRPr="002C4D6B" w:rsidRDefault="00FA26CE" w:rsidP="00FA26CE">
          <w:pPr>
            <w:pStyle w:val="CitaviBibliographyEntry"/>
            <w:spacing w:line="240" w:lineRule="auto"/>
            <w:rPr>
              <w:rFonts w:cstheme="minorHAnsi"/>
            </w:rPr>
          </w:pPr>
          <w:bookmarkStart w:id="60" w:name="_CTVL001b0f01919537849d9aa084b126a09f202"/>
          <w:r w:rsidRPr="002C4D6B">
            <w:rPr>
              <w:rFonts w:cstheme="minorHAnsi"/>
            </w:rPr>
            <w:t>Piccinini, P., Gamberini, R., Prati, A., Rimini, B., &amp; Cucchiara, R. (2013). An automated picking workstation for healthcare applications.</w:t>
          </w:r>
          <w:bookmarkEnd w:id="60"/>
          <w:r w:rsidRPr="002C4D6B">
            <w:rPr>
              <w:rFonts w:cstheme="minorHAnsi"/>
            </w:rPr>
            <w:t xml:space="preserve"> </w:t>
          </w:r>
          <w:r w:rsidRPr="002C4D6B">
            <w:rPr>
              <w:rFonts w:cstheme="minorHAnsi"/>
              <w:i/>
            </w:rPr>
            <w:t>Computers &amp; Industrial Engineering</w:t>
          </w:r>
          <w:r w:rsidRPr="002C4D6B">
            <w:rPr>
              <w:rFonts w:cstheme="minorHAnsi"/>
            </w:rPr>
            <w:t xml:space="preserve">, </w:t>
          </w:r>
          <w:r w:rsidRPr="002C4D6B">
            <w:rPr>
              <w:rFonts w:cstheme="minorHAnsi"/>
              <w:i/>
            </w:rPr>
            <w:t>64</w:t>
          </w:r>
          <w:r w:rsidRPr="002C4D6B">
            <w:rPr>
              <w:rFonts w:cstheme="minorHAnsi"/>
            </w:rPr>
            <w:t>(2), 653–668. https://doi.org/10.1016/j.cie.2012.11.004</w:t>
          </w:r>
        </w:p>
        <w:p w14:paraId="019F3DD9" w14:textId="77777777" w:rsidR="00FA26CE" w:rsidRPr="002C4D6B" w:rsidRDefault="00FA26CE" w:rsidP="00FA26CE">
          <w:pPr>
            <w:pStyle w:val="CitaviBibliographyEntry"/>
            <w:spacing w:line="240" w:lineRule="auto"/>
            <w:rPr>
              <w:rFonts w:cstheme="minorHAnsi"/>
              <w:i/>
            </w:rPr>
          </w:pPr>
          <w:bookmarkStart w:id="61" w:name="_CTVL0018fdc1655d65541569f200e842a1133f0"/>
          <w:r w:rsidRPr="002C4D6B">
            <w:rPr>
              <w:rFonts w:cstheme="minorHAnsi"/>
            </w:rPr>
            <w:lastRenderedPageBreak/>
            <w:t>PwC. (2017).</w:t>
          </w:r>
          <w:bookmarkEnd w:id="61"/>
          <w:r w:rsidRPr="002C4D6B">
            <w:rPr>
              <w:rFonts w:cstheme="minorHAnsi"/>
            </w:rPr>
            <w:t xml:space="preserve"> </w:t>
          </w:r>
          <w:r w:rsidRPr="002C4D6B">
            <w:rPr>
              <w:rFonts w:cstheme="minorHAnsi"/>
              <w:i/>
            </w:rPr>
            <w:t xml:space="preserve">Digital Factories 2020: Shaping the future of manufacturing. </w:t>
          </w:r>
        </w:p>
        <w:p w14:paraId="5514692D" w14:textId="77777777" w:rsidR="00FA26CE" w:rsidRPr="002C4D6B" w:rsidRDefault="00FA26CE" w:rsidP="00FA26CE">
          <w:pPr>
            <w:pStyle w:val="CitaviBibliographyEntry"/>
            <w:spacing w:line="240" w:lineRule="auto"/>
            <w:rPr>
              <w:rFonts w:cstheme="minorHAnsi"/>
              <w:i/>
            </w:rPr>
          </w:pPr>
          <w:bookmarkStart w:id="62" w:name="_CTVL001ea2441693a1b4a1fb0928023b2127ec8"/>
          <w:r w:rsidRPr="002C4D6B">
            <w:rPr>
              <w:rFonts w:cstheme="minorHAnsi"/>
            </w:rPr>
            <w:t>PwC. (2019).</w:t>
          </w:r>
          <w:bookmarkEnd w:id="62"/>
          <w:r w:rsidRPr="002C4D6B">
            <w:rPr>
              <w:rFonts w:cstheme="minorHAnsi"/>
            </w:rPr>
            <w:t xml:space="preserve"> </w:t>
          </w:r>
          <w:r w:rsidRPr="002C4D6B">
            <w:rPr>
              <w:rFonts w:cstheme="minorHAnsi"/>
              <w:i/>
            </w:rPr>
            <w:t xml:space="preserve">Transportation and logistic trends 2019: The logistics segment confronts an onslaught of startups. </w:t>
          </w:r>
        </w:p>
        <w:p w14:paraId="0B13B7CC" w14:textId="77777777" w:rsidR="00FA26CE" w:rsidRPr="002C4D6B" w:rsidRDefault="00FA26CE" w:rsidP="00FA26CE">
          <w:pPr>
            <w:pStyle w:val="CitaviBibliographyEntry"/>
            <w:spacing w:line="240" w:lineRule="auto"/>
            <w:rPr>
              <w:rFonts w:cstheme="minorHAnsi"/>
              <w:i/>
            </w:rPr>
          </w:pPr>
          <w:bookmarkStart w:id="63" w:name="_CTVL001498f21b1a392439db13184fcc43eced2"/>
          <w:r w:rsidRPr="002C4D6B">
            <w:rPr>
              <w:rFonts w:cstheme="minorHAnsi"/>
            </w:rPr>
            <w:t>PwC. (2020).</w:t>
          </w:r>
          <w:bookmarkEnd w:id="63"/>
          <w:r w:rsidRPr="002C4D6B">
            <w:rPr>
              <w:rFonts w:cstheme="minorHAnsi"/>
            </w:rPr>
            <w:t xml:space="preserve"> </w:t>
          </w:r>
          <w:r w:rsidRPr="002C4D6B">
            <w:rPr>
              <w:rFonts w:cstheme="minorHAnsi"/>
              <w:i/>
            </w:rPr>
            <w:t xml:space="preserve">Connected and autonomous supply chain ecosystems 2025. </w:t>
          </w:r>
        </w:p>
        <w:p w14:paraId="0E7EC0E3" w14:textId="77777777" w:rsidR="00FA26CE" w:rsidRPr="002C4D6B" w:rsidRDefault="00FA26CE" w:rsidP="00FA26CE">
          <w:pPr>
            <w:pStyle w:val="CitaviBibliographyEntry"/>
            <w:spacing w:line="240" w:lineRule="auto"/>
            <w:rPr>
              <w:rFonts w:cstheme="minorHAnsi"/>
              <w:i/>
            </w:rPr>
          </w:pPr>
          <w:bookmarkStart w:id="64" w:name="_CTVL001f28d1ec2732f4a3682b6c08fb9f10419"/>
          <w:r w:rsidRPr="002C4D6B">
            <w:rPr>
              <w:rFonts w:cstheme="minorHAnsi"/>
            </w:rPr>
            <w:t>PwC, &amp; Strategy&amp;. (2016).</w:t>
          </w:r>
          <w:bookmarkEnd w:id="64"/>
          <w:r w:rsidRPr="002C4D6B">
            <w:rPr>
              <w:rFonts w:cstheme="minorHAnsi"/>
            </w:rPr>
            <w:t xml:space="preserve"> </w:t>
          </w:r>
          <w:r w:rsidRPr="002C4D6B">
            <w:rPr>
              <w:rFonts w:cstheme="minorHAnsi"/>
              <w:i/>
            </w:rPr>
            <w:t xml:space="preserve">Industry 4.0: How digitization makes the supply chain more efficient, agile, and customer-focused. </w:t>
          </w:r>
        </w:p>
        <w:p w14:paraId="2FBA8BA6" w14:textId="77777777" w:rsidR="00FA26CE" w:rsidRPr="002C4D6B" w:rsidRDefault="00FA26CE" w:rsidP="00FA26CE">
          <w:pPr>
            <w:pStyle w:val="CitaviBibliographyEntry"/>
            <w:spacing w:line="240" w:lineRule="auto"/>
            <w:rPr>
              <w:rFonts w:cstheme="minorHAnsi"/>
            </w:rPr>
          </w:pPr>
          <w:bookmarkStart w:id="65" w:name="_CTVL00151369cb444ea4d15bd5e3191442150e6"/>
          <w:r w:rsidRPr="002C4D6B">
            <w:rPr>
              <w:rFonts w:cstheme="minorHAnsi"/>
            </w:rPr>
            <w:t>Rejeb, A., Keogh, J. G., Leong, G. K., &amp; Treiblmaier, H. (2021). Potentials and challenges of augmented reality smart glasses in logistics and supply chain management: a systematic literature review.</w:t>
          </w:r>
          <w:bookmarkEnd w:id="65"/>
          <w:r w:rsidRPr="002C4D6B">
            <w:rPr>
              <w:rFonts w:cstheme="minorHAnsi"/>
            </w:rPr>
            <w:t xml:space="preserve"> </w:t>
          </w:r>
          <w:r w:rsidRPr="002C4D6B">
            <w:rPr>
              <w:rFonts w:cstheme="minorHAnsi"/>
              <w:i/>
            </w:rPr>
            <w:t>International Journal of Production Research</w:t>
          </w:r>
          <w:r w:rsidRPr="002C4D6B">
            <w:rPr>
              <w:rFonts w:cstheme="minorHAnsi"/>
            </w:rPr>
            <w:t xml:space="preserve">, </w:t>
          </w:r>
          <w:r w:rsidRPr="002C4D6B">
            <w:rPr>
              <w:rFonts w:cstheme="minorHAnsi"/>
              <w:i/>
            </w:rPr>
            <w:t>59</w:t>
          </w:r>
          <w:r w:rsidRPr="002C4D6B">
            <w:rPr>
              <w:rFonts w:cstheme="minorHAnsi"/>
            </w:rPr>
            <w:t>(12), 3747–3776. https://doi.org/10.1080/00207543.2021.1876942</w:t>
          </w:r>
        </w:p>
        <w:p w14:paraId="228C2836" w14:textId="77777777" w:rsidR="00FA26CE" w:rsidRPr="002C4D6B" w:rsidRDefault="00FA26CE" w:rsidP="00FA26CE">
          <w:pPr>
            <w:pStyle w:val="CitaviBibliographyEntry"/>
            <w:spacing w:line="240" w:lineRule="auto"/>
            <w:rPr>
              <w:rFonts w:cstheme="minorHAnsi"/>
            </w:rPr>
          </w:pPr>
          <w:bookmarkStart w:id="66" w:name="_CTVL001499c05a0033b4caf96b6c9302e25afc5"/>
          <w:r w:rsidRPr="002C4D6B">
            <w:rPr>
              <w:rFonts w:cstheme="minorHAnsi"/>
            </w:rPr>
            <w:t>Saberi, S., Kouhizadeh, M., Sarkis, J., &amp; Shen, L. (2019). Blockchain technology and its relationships to sustainable supply chain management.</w:t>
          </w:r>
          <w:bookmarkEnd w:id="66"/>
          <w:r w:rsidRPr="002C4D6B">
            <w:rPr>
              <w:rFonts w:cstheme="minorHAnsi"/>
            </w:rPr>
            <w:t xml:space="preserve"> </w:t>
          </w:r>
          <w:r w:rsidRPr="002C4D6B">
            <w:rPr>
              <w:rFonts w:cstheme="minorHAnsi"/>
              <w:i/>
            </w:rPr>
            <w:t>International Journal of Production Research</w:t>
          </w:r>
          <w:r w:rsidRPr="002C4D6B">
            <w:rPr>
              <w:rFonts w:cstheme="minorHAnsi"/>
            </w:rPr>
            <w:t xml:space="preserve">, </w:t>
          </w:r>
          <w:r w:rsidRPr="002C4D6B">
            <w:rPr>
              <w:rFonts w:cstheme="minorHAnsi"/>
              <w:i/>
            </w:rPr>
            <w:t>57</w:t>
          </w:r>
          <w:r w:rsidRPr="002C4D6B">
            <w:rPr>
              <w:rFonts w:cstheme="minorHAnsi"/>
            </w:rPr>
            <w:t>(7), 2117–2135. https://doi.org/10.1080/00207543.2018.1533261</w:t>
          </w:r>
        </w:p>
        <w:p w14:paraId="75EF6F57" w14:textId="77777777" w:rsidR="00FA26CE" w:rsidRPr="002C4D6B" w:rsidRDefault="00FA26CE" w:rsidP="00FA26CE">
          <w:pPr>
            <w:pStyle w:val="CitaviBibliographyEntry"/>
            <w:spacing w:line="240" w:lineRule="auto"/>
            <w:rPr>
              <w:rFonts w:cstheme="minorHAnsi"/>
            </w:rPr>
          </w:pPr>
          <w:bookmarkStart w:id="67" w:name="_CTVL001caad994b2736481189f4b013e63f8ab6"/>
          <w:r w:rsidRPr="002C4D6B">
            <w:rPr>
              <w:rFonts w:cstheme="minorHAnsi"/>
            </w:rPr>
            <w:t>Sanders, N. R., &amp; Ganeshan, R. (2018). Big Data in Supply Chain Management.</w:t>
          </w:r>
          <w:bookmarkEnd w:id="67"/>
          <w:r w:rsidRPr="002C4D6B">
            <w:rPr>
              <w:rFonts w:cstheme="minorHAnsi"/>
            </w:rPr>
            <w:t xml:space="preserve"> </w:t>
          </w:r>
          <w:r w:rsidRPr="002C4D6B">
            <w:rPr>
              <w:rFonts w:cstheme="minorHAnsi"/>
              <w:i/>
            </w:rPr>
            <w:t>Production and Operations Management</w:t>
          </w:r>
          <w:r w:rsidRPr="002C4D6B">
            <w:rPr>
              <w:rFonts w:cstheme="minorHAnsi"/>
            </w:rPr>
            <w:t xml:space="preserve">, </w:t>
          </w:r>
          <w:r w:rsidRPr="002C4D6B">
            <w:rPr>
              <w:rFonts w:cstheme="minorHAnsi"/>
              <w:i/>
            </w:rPr>
            <w:t>27</w:t>
          </w:r>
          <w:r w:rsidRPr="002C4D6B">
            <w:rPr>
              <w:rFonts w:cstheme="minorHAnsi"/>
            </w:rPr>
            <w:t>(10), 1745–1748. https://doi.org/10.1111/poms.12892</w:t>
          </w:r>
        </w:p>
        <w:p w14:paraId="7D8F40A2" w14:textId="77777777" w:rsidR="00FA26CE" w:rsidRPr="002C4D6B" w:rsidRDefault="00FA26CE" w:rsidP="00FA26CE">
          <w:pPr>
            <w:pStyle w:val="CitaviBibliographyEntry"/>
            <w:spacing w:line="240" w:lineRule="auto"/>
            <w:rPr>
              <w:rFonts w:cstheme="minorHAnsi"/>
            </w:rPr>
          </w:pPr>
          <w:bookmarkStart w:id="68" w:name="_CTVL001faf975a5bddc4fabb8b0516ab305e632"/>
          <w:r w:rsidRPr="002C4D6B">
            <w:rPr>
              <w:rFonts w:cstheme="minorHAnsi"/>
            </w:rPr>
            <w:t>Sasson, A., &amp; Johnson, J. C. (2016). The 3D printing order: variability, supercenters and supply chain reconfigurations.</w:t>
          </w:r>
          <w:bookmarkEnd w:id="68"/>
          <w:r w:rsidRPr="002C4D6B">
            <w:rPr>
              <w:rFonts w:cstheme="minorHAnsi"/>
            </w:rPr>
            <w:t xml:space="preserve"> </w:t>
          </w:r>
          <w:r w:rsidRPr="002C4D6B">
            <w:rPr>
              <w:rFonts w:cstheme="minorHAnsi"/>
              <w:i/>
            </w:rPr>
            <w:t>International Journal of Physical Distribution &amp; Logistics Management</w:t>
          </w:r>
          <w:r w:rsidRPr="002C4D6B">
            <w:rPr>
              <w:rFonts w:cstheme="minorHAnsi"/>
            </w:rPr>
            <w:t xml:space="preserve">, </w:t>
          </w:r>
          <w:r w:rsidRPr="002C4D6B">
            <w:rPr>
              <w:rFonts w:cstheme="minorHAnsi"/>
              <w:i/>
            </w:rPr>
            <w:t>46</w:t>
          </w:r>
          <w:r w:rsidRPr="002C4D6B">
            <w:rPr>
              <w:rFonts w:cstheme="minorHAnsi"/>
            </w:rPr>
            <w:t>(1), 82–94. https://doi.org/10.1108/IJPDLM-10-2015-0257</w:t>
          </w:r>
        </w:p>
        <w:p w14:paraId="7BAF7392" w14:textId="77777777" w:rsidR="00FA26CE" w:rsidRPr="002C4D6B" w:rsidRDefault="00FA26CE" w:rsidP="00FA26CE">
          <w:pPr>
            <w:pStyle w:val="CitaviBibliographyEntry"/>
            <w:spacing w:line="240" w:lineRule="auto"/>
            <w:rPr>
              <w:rFonts w:cstheme="minorHAnsi"/>
            </w:rPr>
          </w:pPr>
          <w:bookmarkStart w:id="69" w:name="_CTVL001320c482db4c84f319aab9ef5c5bdd48f"/>
          <w:r w:rsidRPr="002C4D6B">
            <w:rPr>
              <w:rFonts w:cstheme="minorHAnsi"/>
            </w:rPr>
            <w:t>Shao, X.</w:t>
          </w:r>
          <w:r w:rsidRPr="002C4D6B">
            <w:rPr>
              <w:rFonts w:ascii="Cambria Math" w:hAnsi="Cambria Math" w:cs="Cambria Math"/>
            </w:rPr>
            <w:t>‑</w:t>
          </w:r>
          <w:r w:rsidRPr="002C4D6B">
            <w:rPr>
              <w:rFonts w:cstheme="minorHAnsi"/>
            </w:rPr>
            <w:t>F., Liu, W., Li, Y., Chaudhry, H. R., &amp; Yue, X.</w:t>
          </w:r>
          <w:r w:rsidRPr="002C4D6B">
            <w:rPr>
              <w:rFonts w:ascii="Cambria Math" w:hAnsi="Cambria Math" w:cs="Cambria Math"/>
            </w:rPr>
            <w:t>‑</w:t>
          </w:r>
          <w:r w:rsidRPr="002C4D6B">
            <w:rPr>
              <w:rFonts w:cstheme="minorHAnsi"/>
            </w:rPr>
            <w:t>G. (2021). Multistage implementation framework for smart supply chain management under industry 4.0.</w:t>
          </w:r>
          <w:bookmarkEnd w:id="69"/>
          <w:r w:rsidRPr="002C4D6B">
            <w:rPr>
              <w:rFonts w:cstheme="minorHAnsi"/>
            </w:rPr>
            <w:t xml:space="preserve"> </w:t>
          </w:r>
          <w:r w:rsidRPr="002C4D6B">
            <w:rPr>
              <w:rFonts w:cstheme="minorHAnsi"/>
              <w:i/>
            </w:rPr>
            <w:t>Technological Forecasting and Social Change</w:t>
          </w:r>
          <w:r w:rsidRPr="002C4D6B">
            <w:rPr>
              <w:rFonts w:cstheme="minorHAnsi"/>
            </w:rPr>
            <w:t xml:space="preserve">, </w:t>
          </w:r>
          <w:r w:rsidRPr="002C4D6B">
            <w:rPr>
              <w:rFonts w:cstheme="minorHAnsi"/>
              <w:i/>
            </w:rPr>
            <w:t>162</w:t>
          </w:r>
          <w:r w:rsidRPr="002C4D6B">
            <w:rPr>
              <w:rFonts w:cstheme="minorHAnsi"/>
            </w:rPr>
            <w:t>, 120354. https://doi.org/10.1016/j.techfore.2020.120354</w:t>
          </w:r>
        </w:p>
        <w:p w14:paraId="14F19776" w14:textId="77777777" w:rsidR="00FA26CE" w:rsidRPr="002C4D6B" w:rsidRDefault="00FA26CE" w:rsidP="00FA26CE">
          <w:pPr>
            <w:pStyle w:val="CitaviBibliographyEntry"/>
            <w:spacing w:line="240" w:lineRule="auto"/>
            <w:rPr>
              <w:rFonts w:cstheme="minorHAnsi"/>
            </w:rPr>
          </w:pPr>
          <w:bookmarkStart w:id="70" w:name="_CTVL0017ea9e285d48a4c21bfd278aa684ec5c3"/>
          <w:r w:rsidRPr="002C4D6B">
            <w:rPr>
              <w:rFonts w:cstheme="minorHAnsi"/>
            </w:rPr>
            <w:t>Shee, H., Miah, S. J., Fairfield, L., &amp; Pujawan, N. (2018). The impact of cloud-enabled process integration on supply chain performance and firm sustainability: the moderating role of top management.</w:t>
          </w:r>
          <w:bookmarkEnd w:id="70"/>
          <w:r w:rsidRPr="002C4D6B">
            <w:rPr>
              <w:rFonts w:cstheme="minorHAnsi"/>
            </w:rPr>
            <w:t xml:space="preserve"> </w:t>
          </w:r>
          <w:r w:rsidRPr="002C4D6B">
            <w:rPr>
              <w:rFonts w:cstheme="minorHAnsi"/>
              <w:i/>
            </w:rPr>
            <w:t>Supply Chain Management: An International Journal</w:t>
          </w:r>
          <w:r w:rsidRPr="002C4D6B">
            <w:rPr>
              <w:rFonts w:cstheme="minorHAnsi"/>
            </w:rPr>
            <w:t xml:space="preserve">, </w:t>
          </w:r>
          <w:r w:rsidRPr="002C4D6B">
            <w:rPr>
              <w:rFonts w:cstheme="minorHAnsi"/>
              <w:i/>
            </w:rPr>
            <w:t>23</w:t>
          </w:r>
          <w:r w:rsidRPr="002C4D6B">
            <w:rPr>
              <w:rFonts w:cstheme="minorHAnsi"/>
            </w:rPr>
            <w:t>(6), 500–517. https://doi.org/10.1108/SCM-09-2017-0309</w:t>
          </w:r>
        </w:p>
        <w:p w14:paraId="134C413E" w14:textId="77777777" w:rsidR="00FA26CE" w:rsidRPr="002C4D6B" w:rsidRDefault="00FA26CE" w:rsidP="00FA26CE">
          <w:pPr>
            <w:pStyle w:val="CitaviBibliographyEntry"/>
            <w:spacing w:line="240" w:lineRule="auto"/>
            <w:rPr>
              <w:rFonts w:cstheme="minorHAnsi"/>
            </w:rPr>
          </w:pPr>
          <w:bookmarkStart w:id="71" w:name="_CTVL00144ed92d8ecf3475d9f10d0cc28c2865c"/>
          <w:r w:rsidRPr="002C4D6B">
            <w:rPr>
              <w:rFonts w:cstheme="minorHAnsi"/>
            </w:rPr>
            <w:t>Shu, J., &amp; Barton, R. (2012). Managing Supply Chain Execution: Monitoring Timeliness and Correctness via Individualized Trace Data.</w:t>
          </w:r>
          <w:bookmarkEnd w:id="71"/>
          <w:r w:rsidRPr="002C4D6B">
            <w:rPr>
              <w:rFonts w:cstheme="minorHAnsi"/>
            </w:rPr>
            <w:t xml:space="preserve"> </w:t>
          </w:r>
          <w:r w:rsidRPr="002C4D6B">
            <w:rPr>
              <w:rFonts w:cstheme="minorHAnsi"/>
              <w:i/>
            </w:rPr>
            <w:t>Production and Operations Management</w:t>
          </w:r>
          <w:r w:rsidRPr="002C4D6B">
            <w:rPr>
              <w:rFonts w:cstheme="minorHAnsi"/>
            </w:rPr>
            <w:t xml:space="preserve">, </w:t>
          </w:r>
          <w:r w:rsidRPr="002C4D6B">
            <w:rPr>
              <w:rFonts w:cstheme="minorHAnsi"/>
              <w:i/>
            </w:rPr>
            <w:t>21</w:t>
          </w:r>
          <w:r w:rsidRPr="002C4D6B">
            <w:rPr>
              <w:rFonts w:cstheme="minorHAnsi"/>
            </w:rPr>
            <w:t>(4), 715–729. https://doi.org/10.1111/j.1937-5956.2012.01353.x</w:t>
          </w:r>
        </w:p>
        <w:p w14:paraId="6F6FA3EA" w14:textId="77777777" w:rsidR="00FA26CE" w:rsidRPr="002C4D6B" w:rsidRDefault="00FA26CE" w:rsidP="00FA26CE">
          <w:pPr>
            <w:pStyle w:val="CitaviBibliographyEntry"/>
            <w:spacing w:line="240" w:lineRule="auto"/>
            <w:rPr>
              <w:rFonts w:cstheme="minorHAnsi"/>
            </w:rPr>
          </w:pPr>
          <w:bookmarkStart w:id="72" w:name="_CTVL001f5604ed718a045beb522b8b0ac0101b9"/>
          <w:r w:rsidRPr="002C4D6B">
            <w:rPr>
              <w:rFonts w:cstheme="minorHAnsi"/>
            </w:rPr>
            <w:t>Tran-Dang, H., Krommenacker, N., &amp; Charpentier, P. (2017). Containers monitoring through the Physical Internet: a spatial 3D model based on wireless sensor networks.</w:t>
          </w:r>
          <w:bookmarkEnd w:id="72"/>
          <w:r w:rsidRPr="002C4D6B">
            <w:rPr>
              <w:rFonts w:cstheme="minorHAnsi"/>
            </w:rPr>
            <w:t xml:space="preserve"> </w:t>
          </w:r>
          <w:r w:rsidRPr="002C4D6B">
            <w:rPr>
              <w:rFonts w:cstheme="minorHAnsi"/>
              <w:i/>
            </w:rPr>
            <w:t>International Journal of Production Research</w:t>
          </w:r>
          <w:r w:rsidRPr="002C4D6B">
            <w:rPr>
              <w:rFonts w:cstheme="minorHAnsi"/>
            </w:rPr>
            <w:t xml:space="preserve">, </w:t>
          </w:r>
          <w:r w:rsidRPr="002C4D6B">
            <w:rPr>
              <w:rFonts w:cstheme="minorHAnsi"/>
              <w:i/>
            </w:rPr>
            <w:t>55</w:t>
          </w:r>
          <w:r w:rsidRPr="002C4D6B">
            <w:rPr>
              <w:rFonts w:cstheme="minorHAnsi"/>
            </w:rPr>
            <w:t>(9), 2650–2663. https://doi.org/10.1080/00207543.2016.1206220</w:t>
          </w:r>
        </w:p>
        <w:p w14:paraId="28F03149" w14:textId="77777777" w:rsidR="00FA26CE" w:rsidRPr="002C4D6B" w:rsidRDefault="00FA26CE" w:rsidP="00FA26CE">
          <w:pPr>
            <w:pStyle w:val="CitaviBibliographyEntry"/>
            <w:spacing w:line="240" w:lineRule="auto"/>
            <w:rPr>
              <w:rFonts w:cstheme="minorHAnsi"/>
            </w:rPr>
          </w:pPr>
          <w:bookmarkStart w:id="73" w:name="_CTVL0019493836fa577400a8907cf80853fd413"/>
          <w:r w:rsidRPr="002C4D6B">
            <w:rPr>
              <w:rFonts w:cstheme="minorHAnsi"/>
            </w:rPr>
            <w:t>Wang, J., Lim, M. K., Zhan, Y., &amp; Wang, X. (2020). An intelligent logistics service system for enhancing dispatching operations in an IoT environment.</w:t>
          </w:r>
          <w:bookmarkEnd w:id="73"/>
          <w:r w:rsidRPr="002C4D6B">
            <w:rPr>
              <w:rFonts w:cstheme="minorHAnsi"/>
            </w:rPr>
            <w:t xml:space="preserve"> </w:t>
          </w:r>
          <w:r w:rsidRPr="002C4D6B">
            <w:rPr>
              <w:rFonts w:cstheme="minorHAnsi"/>
              <w:i/>
            </w:rPr>
            <w:t>Transportation Research Part E: Logistics and Transportation Review</w:t>
          </w:r>
          <w:r w:rsidRPr="002C4D6B">
            <w:rPr>
              <w:rFonts w:cstheme="minorHAnsi"/>
            </w:rPr>
            <w:t xml:space="preserve">, </w:t>
          </w:r>
          <w:r w:rsidRPr="002C4D6B">
            <w:rPr>
              <w:rFonts w:cstheme="minorHAnsi"/>
              <w:i/>
            </w:rPr>
            <w:t>135</w:t>
          </w:r>
          <w:r w:rsidRPr="002C4D6B">
            <w:rPr>
              <w:rFonts w:cstheme="minorHAnsi"/>
            </w:rPr>
            <w:t>, 101886. https://doi.org/10.1016/j.tre.2020.101886</w:t>
          </w:r>
        </w:p>
        <w:p w14:paraId="219F78F1" w14:textId="77777777" w:rsidR="00FA26CE" w:rsidRPr="002C4D6B" w:rsidRDefault="00FA26CE" w:rsidP="00FA26CE">
          <w:pPr>
            <w:pStyle w:val="CitaviBibliographyEntry"/>
            <w:spacing w:line="240" w:lineRule="auto"/>
            <w:rPr>
              <w:rFonts w:cstheme="minorHAnsi"/>
            </w:rPr>
          </w:pPr>
          <w:bookmarkStart w:id="74" w:name="_CTVL0014aac1fc3382b4c7d89ce25d50002c8c1"/>
          <w:r w:rsidRPr="002C4D6B">
            <w:rPr>
              <w:rFonts w:cstheme="minorHAnsi"/>
            </w:rPr>
            <w:t>Wang, Y., Han, J. H., &amp; Beynon-Davies, P. (2019). Understanding blockchain technology for future supply chains: a systematic literature review and research agenda.</w:t>
          </w:r>
          <w:bookmarkEnd w:id="74"/>
          <w:r w:rsidRPr="002C4D6B">
            <w:rPr>
              <w:rFonts w:cstheme="minorHAnsi"/>
            </w:rPr>
            <w:t xml:space="preserve"> </w:t>
          </w:r>
          <w:r w:rsidRPr="002C4D6B">
            <w:rPr>
              <w:rFonts w:cstheme="minorHAnsi"/>
              <w:i/>
            </w:rPr>
            <w:t>Supply Chain Management: An International Journal</w:t>
          </w:r>
          <w:r w:rsidRPr="002C4D6B">
            <w:rPr>
              <w:rFonts w:cstheme="minorHAnsi"/>
            </w:rPr>
            <w:t xml:space="preserve">, </w:t>
          </w:r>
          <w:r w:rsidRPr="002C4D6B">
            <w:rPr>
              <w:rFonts w:cstheme="minorHAnsi"/>
              <w:i/>
            </w:rPr>
            <w:t>24</w:t>
          </w:r>
          <w:r w:rsidRPr="002C4D6B">
            <w:rPr>
              <w:rFonts w:cstheme="minorHAnsi"/>
            </w:rPr>
            <w:t>(1), 62–84. https://doi.org/10.1108/SCM-03-2018-0148</w:t>
          </w:r>
        </w:p>
        <w:p w14:paraId="7DEF6A99" w14:textId="77777777" w:rsidR="00FA26CE" w:rsidRPr="002C4D6B" w:rsidRDefault="00FA26CE" w:rsidP="00FA26CE">
          <w:pPr>
            <w:pStyle w:val="CitaviBibliographyEntry"/>
            <w:spacing w:line="240" w:lineRule="auto"/>
            <w:rPr>
              <w:rFonts w:cstheme="minorHAnsi"/>
              <w:i/>
            </w:rPr>
          </w:pPr>
          <w:bookmarkStart w:id="75" w:name="_CTVL001b817879091ce4705befc48a83b753baa"/>
          <w:r w:rsidRPr="002C4D6B">
            <w:rPr>
              <w:rFonts w:cstheme="minorHAnsi"/>
            </w:rPr>
            <w:t>World Economic Forum, &amp; Accenture. (2016).</w:t>
          </w:r>
          <w:bookmarkEnd w:id="75"/>
          <w:r w:rsidRPr="002C4D6B">
            <w:rPr>
              <w:rFonts w:cstheme="minorHAnsi"/>
            </w:rPr>
            <w:t xml:space="preserve"> </w:t>
          </w:r>
          <w:r w:rsidRPr="002C4D6B">
            <w:rPr>
              <w:rFonts w:cstheme="minorHAnsi"/>
              <w:i/>
            </w:rPr>
            <w:t xml:space="preserve">World Economic Forum White Paper Digital Transformation of Industries: In collaboration with Accenture. </w:t>
          </w:r>
        </w:p>
        <w:p w14:paraId="64D9607F" w14:textId="77777777" w:rsidR="00FA26CE" w:rsidRPr="002C4D6B" w:rsidRDefault="00FA26CE" w:rsidP="00FA26CE">
          <w:pPr>
            <w:pStyle w:val="CitaviBibliographyEntry"/>
            <w:spacing w:line="240" w:lineRule="auto"/>
            <w:rPr>
              <w:rFonts w:cstheme="minorHAnsi"/>
            </w:rPr>
          </w:pPr>
          <w:bookmarkStart w:id="76" w:name="_CTVL0011dbf93f6bc9a4607810890c52ac23520"/>
          <w:r w:rsidRPr="002C4D6B">
            <w:rPr>
              <w:rFonts w:cstheme="minorHAnsi"/>
            </w:rPr>
            <w:t>Wu, X., Zhou, J., Park, S., &amp; Subramaniam, C. (2011). The Impact of RFID on Firm and Supply Chain Performance: a Simulation Study.</w:t>
          </w:r>
          <w:bookmarkEnd w:id="76"/>
          <w:r w:rsidRPr="002C4D6B">
            <w:rPr>
              <w:rFonts w:cstheme="minorHAnsi"/>
            </w:rPr>
            <w:t xml:space="preserve"> </w:t>
          </w:r>
          <w:r w:rsidRPr="002C4D6B">
            <w:rPr>
              <w:rFonts w:cstheme="minorHAnsi"/>
              <w:i/>
            </w:rPr>
            <w:t>International Conference on Information Systems (ICIS) 2011 Proceedings</w:t>
          </w:r>
          <w:r w:rsidRPr="002C4D6B">
            <w:rPr>
              <w:rFonts w:cstheme="minorHAnsi"/>
            </w:rPr>
            <w:t>.</w:t>
          </w:r>
        </w:p>
        <w:p w14:paraId="0257DE27" w14:textId="77777777" w:rsidR="00FA26CE" w:rsidRPr="002C4D6B" w:rsidRDefault="00FA26CE" w:rsidP="00FA26CE">
          <w:pPr>
            <w:pStyle w:val="CitaviBibliographyEntry"/>
            <w:spacing w:line="240" w:lineRule="auto"/>
            <w:rPr>
              <w:rFonts w:cstheme="minorHAnsi"/>
            </w:rPr>
          </w:pPr>
          <w:bookmarkStart w:id="77" w:name="_CTVL001045b561754734d94a894309e56454215"/>
          <w:r w:rsidRPr="002C4D6B">
            <w:rPr>
              <w:rFonts w:cstheme="minorHAnsi"/>
            </w:rPr>
            <w:t>Yang, M., Fu, M., &amp; Zhang, Z. (2021). The adoption of digital technologies in supply chains: Drivers, process and impact.</w:t>
          </w:r>
          <w:bookmarkEnd w:id="77"/>
          <w:r w:rsidRPr="002C4D6B">
            <w:rPr>
              <w:rFonts w:cstheme="minorHAnsi"/>
            </w:rPr>
            <w:t xml:space="preserve"> </w:t>
          </w:r>
          <w:r w:rsidRPr="002C4D6B">
            <w:rPr>
              <w:rFonts w:cstheme="minorHAnsi"/>
              <w:i/>
            </w:rPr>
            <w:t>Technological Forecasting and Social Change</w:t>
          </w:r>
          <w:r w:rsidRPr="002C4D6B">
            <w:rPr>
              <w:rFonts w:cstheme="minorHAnsi"/>
            </w:rPr>
            <w:t xml:space="preserve">, </w:t>
          </w:r>
          <w:r w:rsidRPr="002C4D6B">
            <w:rPr>
              <w:rFonts w:cstheme="minorHAnsi"/>
              <w:i/>
            </w:rPr>
            <w:t>169</w:t>
          </w:r>
          <w:r w:rsidRPr="002C4D6B">
            <w:rPr>
              <w:rFonts w:cstheme="minorHAnsi"/>
            </w:rPr>
            <w:t>, 120795. https://doi.org/10.1016/j.techfore.2021.120795</w:t>
          </w:r>
        </w:p>
        <w:p w14:paraId="7FF234DD" w14:textId="77777777" w:rsidR="00FA26CE" w:rsidRPr="002C4D6B" w:rsidRDefault="00FA26CE" w:rsidP="00FA26CE">
          <w:pPr>
            <w:pStyle w:val="CitaviBibliographyEntry"/>
            <w:spacing w:line="240" w:lineRule="auto"/>
            <w:rPr>
              <w:rFonts w:cstheme="minorHAnsi"/>
            </w:rPr>
          </w:pPr>
          <w:bookmarkStart w:id="78" w:name="_CTVL00153e409e016064e1094436cfa1c62c338"/>
          <w:r w:rsidRPr="002C4D6B">
            <w:rPr>
              <w:rFonts w:cstheme="minorHAnsi"/>
              <w:lang w:val="de-DE"/>
            </w:rPr>
            <w:t xml:space="preserve">Zhang, Y., Liu, S., Liu, Y., &amp; Li, R. (2016). </w:t>
          </w:r>
          <w:r w:rsidRPr="002C4D6B">
            <w:rPr>
              <w:rFonts w:cstheme="minorHAnsi"/>
            </w:rPr>
            <w:t>Smart box-enabled product-service system for cloud logistics.</w:t>
          </w:r>
          <w:bookmarkEnd w:id="78"/>
          <w:r w:rsidRPr="002C4D6B">
            <w:rPr>
              <w:rFonts w:cstheme="minorHAnsi"/>
            </w:rPr>
            <w:t xml:space="preserve"> </w:t>
          </w:r>
          <w:r w:rsidRPr="002C4D6B">
            <w:rPr>
              <w:rFonts w:cstheme="minorHAnsi"/>
              <w:i/>
            </w:rPr>
            <w:t>International Journal of Production Research</w:t>
          </w:r>
          <w:r w:rsidRPr="002C4D6B">
            <w:rPr>
              <w:rFonts w:cstheme="minorHAnsi"/>
            </w:rPr>
            <w:t xml:space="preserve">, </w:t>
          </w:r>
          <w:r w:rsidRPr="002C4D6B">
            <w:rPr>
              <w:rFonts w:cstheme="minorHAnsi"/>
              <w:i/>
            </w:rPr>
            <w:t>54</w:t>
          </w:r>
          <w:r w:rsidRPr="002C4D6B">
            <w:rPr>
              <w:rFonts w:cstheme="minorHAnsi"/>
            </w:rPr>
            <w:t>(22), 6693–6706. https://doi.org/10.1080/00207543.2015.1134840</w:t>
          </w:r>
        </w:p>
        <w:p w14:paraId="09E2F30F" w14:textId="77777777" w:rsidR="00FA26CE" w:rsidRPr="002C4D6B" w:rsidRDefault="00FA26CE" w:rsidP="00FA26CE">
          <w:pPr>
            <w:pStyle w:val="CitaviBibliographyEntry"/>
            <w:spacing w:line="240" w:lineRule="auto"/>
            <w:rPr>
              <w:rFonts w:cstheme="minorHAnsi"/>
            </w:rPr>
          </w:pPr>
          <w:bookmarkStart w:id="79" w:name="_CTVL00110ffeda464c3422293e49a4eb9d04fa9"/>
          <w:r w:rsidRPr="002C4D6B">
            <w:rPr>
              <w:rFonts w:cstheme="minorHAnsi"/>
            </w:rPr>
            <w:t>Zheng, T., Ardolino, M., Bacchetti, A., &amp; Perona, M. (2021). The applications of Industry 4.0 technologies in manufacturing context: a systematic literature review.</w:t>
          </w:r>
          <w:bookmarkEnd w:id="79"/>
          <w:r w:rsidRPr="002C4D6B">
            <w:rPr>
              <w:rFonts w:cstheme="minorHAnsi"/>
            </w:rPr>
            <w:t xml:space="preserve"> </w:t>
          </w:r>
          <w:r w:rsidRPr="002C4D6B">
            <w:rPr>
              <w:rFonts w:cstheme="minorHAnsi"/>
              <w:i/>
            </w:rPr>
            <w:t>International Journal of Production Research</w:t>
          </w:r>
          <w:r w:rsidRPr="002C4D6B">
            <w:rPr>
              <w:rFonts w:cstheme="minorHAnsi"/>
            </w:rPr>
            <w:t xml:space="preserve">, </w:t>
          </w:r>
          <w:r w:rsidRPr="002C4D6B">
            <w:rPr>
              <w:rFonts w:cstheme="minorHAnsi"/>
              <w:i/>
            </w:rPr>
            <w:t>59</w:t>
          </w:r>
          <w:r w:rsidRPr="002C4D6B">
            <w:rPr>
              <w:rFonts w:cstheme="minorHAnsi"/>
            </w:rPr>
            <w:t>(6), 1922–1954. https://doi.org/10.1080/00207543.2020.1824085</w:t>
          </w:r>
        </w:p>
        <w:p w14:paraId="629338B9" w14:textId="77777777" w:rsidR="00FA26CE" w:rsidRPr="002C4D6B" w:rsidRDefault="00FA26CE" w:rsidP="00FA26CE">
          <w:pPr>
            <w:pStyle w:val="CitaviBibliographyEntry"/>
            <w:spacing w:line="240" w:lineRule="auto"/>
            <w:rPr>
              <w:rFonts w:cstheme="minorHAnsi"/>
            </w:rPr>
          </w:pPr>
          <w:bookmarkStart w:id="80" w:name="_CTVL00121308e877c5c4858b0c2a28518c194f1"/>
          <w:r w:rsidRPr="002C4D6B">
            <w:rPr>
              <w:rFonts w:cstheme="minorHAnsi"/>
            </w:rPr>
            <w:t>Zhong, R. Y., Huang, G. Q., Lan, S., Dai, Q. Y., Chen, X., &amp; Zhang, T. (2015). A big data approach for logistics trajectory discovery from RFID-enabled production data.</w:t>
          </w:r>
          <w:bookmarkEnd w:id="80"/>
          <w:r w:rsidRPr="002C4D6B">
            <w:rPr>
              <w:rFonts w:cstheme="minorHAnsi"/>
            </w:rPr>
            <w:t xml:space="preserve"> </w:t>
          </w:r>
          <w:r w:rsidRPr="002C4D6B">
            <w:rPr>
              <w:rFonts w:cstheme="minorHAnsi"/>
              <w:i/>
            </w:rPr>
            <w:t>International Journal of Production Economics</w:t>
          </w:r>
          <w:r w:rsidRPr="002C4D6B">
            <w:rPr>
              <w:rFonts w:cstheme="minorHAnsi"/>
            </w:rPr>
            <w:t xml:space="preserve">, </w:t>
          </w:r>
          <w:r w:rsidRPr="002C4D6B">
            <w:rPr>
              <w:rFonts w:cstheme="minorHAnsi"/>
              <w:i/>
            </w:rPr>
            <w:t>165</w:t>
          </w:r>
          <w:r w:rsidRPr="002C4D6B">
            <w:rPr>
              <w:rFonts w:cstheme="minorHAnsi"/>
            </w:rPr>
            <w:t>, 260–272. https://doi.org/10.1016/j.ijpe.2015.02.014</w:t>
          </w:r>
        </w:p>
        <w:p w14:paraId="7869CC93" w14:textId="2C87A3AB" w:rsidR="006C5DA6" w:rsidRPr="00747886" w:rsidRDefault="00FA26CE" w:rsidP="00747886">
          <w:pPr>
            <w:pStyle w:val="CitaviBibliographyEntry"/>
            <w:spacing w:line="240" w:lineRule="auto"/>
            <w:rPr>
              <w:rFonts w:cstheme="minorHAnsi"/>
            </w:rPr>
          </w:pPr>
          <w:bookmarkStart w:id="81" w:name="_CTVL0014b63c26515a943c58ccf2d9773b55eab"/>
          <w:r w:rsidRPr="002C4D6B">
            <w:rPr>
              <w:rFonts w:cstheme="minorHAnsi"/>
              <w:lang w:val="de-DE"/>
            </w:rPr>
            <w:t xml:space="preserve">Zhong, R. Y., Xu, C., Chen, C., &amp; Huang, G. Q. (2017). </w:t>
          </w:r>
          <w:r w:rsidRPr="002C4D6B">
            <w:rPr>
              <w:rFonts w:cstheme="minorHAnsi"/>
            </w:rPr>
            <w:t>Big Data Analytics for Physical Internet-based intelligent manufacturing shop floors.</w:t>
          </w:r>
          <w:bookmarkEnd w:id="81"/>
          <w:r w:rsidRPr="002C4D6B">
            <w:rPr>
              <w:rFonts w:cstheme="minorHAnsi"/>
            </w:rPr>
            <w:t xml:space="preserve"> </w:t>
          </w:r>
          <w:r w:rsidRPr="002C4D6B">
            <w:rPr>
              <w:rFonts w:cstheme="minorHAnsi"/>
              <w:i/>
            </w:rPr>
            <w:t>International Journal of Production Research</w:t>
          </w:r>
          <w:r w:rsidRPr="002C4D6B">
            <w:rPr>
              <w:rFonts w:cstheme="minorHAnsi"/>
            </w:rPr>
            <w:t xml:space="preserve">, </w:t>
          </w:r>
          <w:r w:rsidRPr="002C4D6B">
            <w:rPr>
              <w:rFonts w:cstheme="minorHAnsi"/>
              <w:i/>
            </w:rPr>
            <w:t>55</w:t>
          </w:r>
          <w:r w:rsidRPr="002C4D6B">
            <w:rPr>
              <w:rFonts w:cstheme="minorHAnsi"/>
            </w:rPr>
            <w:t>(9), 2610–2621. https://doi.org/10.1080/00207543.2015.1086037</w:t>
          </w:r>
          <w:r w:rsidRPr="002C4D6B">
            <w:rPr>
              <w:rFonts w:cstheme="minorHAnsi"/>
            </w:rPr>
            <w:fldChar w:fldCharType="end"/>
          </w:r>
        </w:p>
        <w:bookmarkStart w:id="82" w:name="_GoBack" w:displacedByCustomXml="next"/>
        <w:bookmarkEnd w:id="82" w:displacedByCustomXml="next"/>
      </w:sdtContent>
    </w:sdt>
    <w:sectPr w:rsidR="006C5DA6" w:rsidRPr="00747886" w:rsidSect="000D6995">
      <w:footerReference w:type="default" r:id="rId11"/>
      <w:footerReference w:type="first" r:id="rId12"/>
      <w:pgSz w:w="11901" w:h="16840" w:code="9"/>
      <w:pgMar w:top="1418" w:right="1418" w:bottom="1418"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080460" w14:textId="77777777" w:rsidR="00E27FA4" w:rsidRDefault="00E27FA4" w:rsidP="00AF2C92">
      <w:r>
        <w:separator/>
      </w:r>
    </w:p>
  </w:endnote>
  <w:endnote w:type="continuationSeparator" w:id="0">
    <w:p w14:paraId="179592BD" w14:textId="77777777" w:rsidR="00E27FA4" w:rsidRDefault="00E27FA4" w:rsidP="00AF2C92">
      <w:r>
        <w:continuationSeparator/>
      </w:r>
    </w:p>
  </w:endnote>
  <w:endnote w:type="continuationNotice" w:id="1">
    <w:p w14:paraId="70531229" w14:textId="77777777" w:rsidR="00E27FA4" w:rsidRDefault="00E27FA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3517263"/>
      <w:docPartObj>
        <w:docPartGallery w:val="Page Numbers (Bottom of Page)"/>
        <w:docPartUnique/>
      </w:docPartObj>
    </w:sdtPr>
    <w:sdtEndPr/>
    <w:sdtContent>
      <w:p w14:paraId="66A014D0" w14:textId="459D5191" w:rsidR="00AD7C2F" w:rsidRDefault="00AD7C2F">
        <w:pPr>
          <w:pStyle w:val="Footer"/>
          <w:jc w:val="right"/>
        </w:pPr>
        <w:r w:rsidRPr="001E7925">
          <w:rPr>
            <w:rFonts w:asciiTheme="minorHAnsi" w:hAnsiTheme="minorHAnsi" w:cstheme="minorHAnsi"/>
          </w:rPr>
          <w:fldChar w:fldCharType="begin"/>
        </w:r>
        <w:r w:rsidRPr="001E7925">
          <w:rPr>
            <w:rFonts w:asciiTheme="minorHAnsi" w:hAnsiTheme="minorHAnsi" w:cstheme="minorHAnsi"/>
          </w:rPr>
          <w:instrText>PAGE   \* MERGEFORMAT</w:instrText>
        </w:r>
        <w:r w:rsidRPr="001E7925">
          <w:rPr>
            <w:rFonts w:asciiTheme="minorHAnsi" w:hAnsiTheme="minorHAnsi" w:cstheme="minorHAnsi"/>
          </w:rPr>
          <w:fldChar w:fldCharType="separate"/>
        </w:r>
        <w:r w:rsidR="00747886" w:rsidRPr="00747886">
          <w:rPr>
            <w:rFonts w:asciiTheme="minorHAnsi" w:hAnsiTheme="minorHAnsi" w:cstheme="minorHAnsi"/>
            <w:noProof/>
            <w:lang w:val="de-DE"/>
          </w:rPr>
          <w:t>10</w:t>
        </w:r>
        <w:r w:rsidRPr="001E7925">
          <w:rPr>
            <w:rFonts w:asciiTheme="minorHAnsi" w:hAnsiTheme="minorHAnsi" w:cstheme="minorHAnsi"/>
          </w:rPr>
          <w:fldChar w:fldCharType="end"/>
        </w:r>
      </w:p>
    </w:sdtContent>
  </w:sdt>
  <w:p w14:paraId="0730B606" w14:textId="77777777" w:rsidR="00AD7C2F" w:rsidRDefault="00AD7C2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1A7006" w14:textId="62CAF0C1" w:rsidR="000D6995" w:rsidRDefault="000D6995">
    <w:pPr>
      <w:pStyle w:val="Footer"/>
      <w:jc w:val="right"/>
    </w:pPr>
    <w:r>
      <w:fldChar w:fldCharType="begin"/>
    </w:r>
    <w:r>
      <w:instrText>PAGE   \* MERGEFORMAT</w:instrText>
    </w:r>
    <w:r>
      <w:fldChar w:fldCharType="separate"/>
    </w:r>
    <w:r w:rsidR="00747886" w:rsidRPr="00747886">
      <w:rPr>
        <w:noProof/>
        <w:lang w:val="de-DE"/>
      </w:rPr>
      <w:t>1</w:t>
    </w:r>
    <w:r>
      <w:fldChar w:fldCharType="end"/>
    </w:r>
  </w:p>
  <w:p w14:paraId="61A459EB" w14:textId="77777777" w:rsidR="000D6995" w:rsidRDefault="000D699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920E29" w14:textId="77777777" w:rsidR="00E27FA4" w:rsidRDefault="00E27FA4" w:rsidP="00AF2C92">
      <w:r>
        <w:separator/>
      </w:r>
    </w:p>
  </w:footnote>
  <w:footnote w:type="continuationSeparator" w:id="0">
    <w:p w14:paraId="37CE081B" w14:textId="77777777" w:rsidR="00E27FA4" w:rsidRDefault="00E27FA4" w:rsidP="00AF2C92">
      <w:r>
        <w:continuationSeparator/>
      </w:r>
    </w:p>
  </w:footnote>
  <w:footnote w:type="continuationNotice" w:id="1">
    <w:p w14:paraId="57354800" w14:textId="77777777" w:rsidR="00E27FA4" w:rsidRDefault="00E27FA4">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CD26AB84"/>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6E869CB0"/>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0374DE64"/>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E0328984"/>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2F485D7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C66DEA8"/>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F207C4E"/>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48788C6C"/>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968E28C"/>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3AB20EA4"/>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11785C15"/>
    <w:multiLevelType w:val="hybridMultilevel"/>
    <w:tmpl w:val="ABA8B6A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128531CD"/>
    <w:multiLevelType w:val="hybridMultilevel"/>
    <w:tmpl w:val="9976BE9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2" w15:restartNumberingAfterBreak="0">
    <w:nsid w:val="14DE318E"/>
    <w:multiLevelType w:val="hybridMultilevel"/>
    <w:tmpl w:val="C3CA955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1C9F337E"/>
    <w:multiLevelType w:val="hybridMultilevel"/>
    <w:tmpl w:val="68BC913A"/>
    <w:lvl w:ilvl="0" w:tplc="CC3CB3BA">
      <w:start w:val="1"/>
      <w:numFmt w:val="bullet"/>
      <w:lvlText w:val="-"/>
      <w:lvlJc w:val="left"/>
      <w:pPr>
        <w:tabs>
          <w:tab w:val="num" w:pos="720"/>
        </w:tabs>
        <w:ind w:left="720" w:hanging="360"/>
      </w:pPr>
      <w:rPr>
        <w:rFonts w:ascii="Arial" w:hAnsi="Arial" w:hint="default"/>
      </w:rPr>
    </w:lvl>
    <w:lvl w:ilvl="1" w:tplc="5630E2F8" w:tentative="1">
      <w:start w:val="1"/>
      <w:numFmt w:val="bullet"/>
      <w:lvlText w:val="-"/>
      <w:lvlJc w:val="left"/>
      <w:pPr>
        <w:tabs>
          <w:tab w:val="num" w:pos="1440"/>
        </w:tabs>
        <w:ind w:left="1440" w:hanging="360"/>
      </w:pPr>
      <w:rPr>
        <w:rFonts w:ascii="Arial" w:hAnsi="Arial" w:hint="default"/>
      </w:rPr>
    </w:lvl>
    <w:lvl w:ilvl="2" w:tplc="E018BA64" w:tentative="1">
      <w:start w:val="1"/>
      <w:numFmt w:val="bullet"/>
      <w:lvlText w:val="-"/>
      <w:lvlJc w:val="left"/>
      <w:pPr>
        <w:tabs>
          <w:tab w:val="num" w:pos="2160"/>
        </w:tabs>
        <w:ind w:left="2160" w:hanging="360"/>
      </w:pPr>
      <w:rPr>
        <w:rFonts w:ascii="Arial" w:hAnsi="Arial" w:hint="default"/>
      </w:rPr>
    </w:lvl>
    <w:lvl w:ilvl="3" w:tplc="0CAED1EA" w:tentative="1">
      <w:start w:val="1"/>
      <w:numFmt w:val="bullet"/>
      <w:lvlText w:val="-"/>
      <w:lvlJc w:val="left"/>
      <w:pPr>
        <w:tabs>
          <w:tab w:val="num" w:pos="2880"/>
        </w:tabs>
        <w:ind w:left="2880" w:hanging="360"/>
      </w:pPr>
      <w:rPr>
        <w:rFonts w:ascii="Arial" w:hAnsi="Arial" w:hint="default"/>
      </w:rPr>
    </w:lvl>
    <w:lvl w:ilvl="4" w:tplc="AF3867D6" w:tentative="1">
      <w:start w:val="1"/>
      <w:numFmt w:val="bullet"/>
      <w:lvlText w:val="-"/>
      <w:lvlJc w:val="left"/>
      <w:pPr>
        <w:tabs>
          <w:tab w:val="num" w:pos="3600"/>
        </w:tabs>
        <w:ind w:left="3600" w:hanging="360"/>
      </w:pPr>
      <w:rPr>
        <w:rFonts w:ascii="Arial" w:hAnsi="Arial" w:hint="default"/>
      </w:rPr>
    </w:lvl>
    <w:lvl w:ilvl="5" w:tplc="F15E4BBC" w:tentative="1">
      <w:start w:val="1"/>
      <w:numFmt w:val="bullet"/>
      <w:lvlText w:val="-"/>
      <w:lvlJc w:val="left"/>
      <w:pPr>
        <w:tabs>
          <w:tab w:val="num" w:pos="4320"/>
        </w:tabs>
        <w:ind w:left="4320" w:hanging="360"/>
      </w:pPr>
      <w:rPr>
        <w:rFonts w:ascii="Arial" w:hAnsi="Arial" w:hint="default"/>
      </w:rPr>
    </w:lvl>
    <w:lvl w:ilvl="6" w:tplc="BFD85CB0" w:tentative="1">
      <w:start w:val="1"/>
      <w:numFmt w:val="bullet"/>
      <w:lvlText w:val="-"/>
      <w:lvlJc w:val="left"/>
      <w:pPr>
        <w:tabs>
          <w:tab w:val="num" w:pos="5040"/>
        </w:tabs>
        <w:ind w:left="5040" w:hanging="360"/>
      </w:pPr>
      <w:rPr>
        <w:rFonts w:ascii="Arial" w:hAnsi="Arial" w:hint="default"/>
      </w:rPr>
    </w:lvl>
    <w:lvl w:ilvl="7" w:tplc="5910285E" w:tentative="1">
      <w:start w:val="1"/>
      <w:numFmt w:val="bullet"/>
      <w:lvlText w:val="-"/>
      <w:lvlJc w:val="left"/>
      <w:pPr>
        <w:tabs>
          <w:tab w:val="num" w:pos="5760"/>
        </w:tabs>
        <w:ind w:left="5760" w:hanging="360"/>
      </w:pPr>
      <w:rPr>
        <w:rFonts w:ascii="Arial" w:hAnsi="Arial" w:hint="default"/>
      </w:rPr>
    </w:lvl>
    <w:lvl w:ilvl="8" w:tplc="E7B23BE6"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22C47437"/>
    <w:multiLevelType w:val="hybridMultilevel"/>
    <w:tmpl w:val="872AE9F2"/>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5" w15:restartNumberingAfterBreak="0">
    <w:nsid w:val="2672158D"/>
    <w:multiLevelType w:val="hybridMultilevel"/>
    <w:tmpl w:val="DBCA5952"/>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6" w15:restartNumberingAfterBreak="0">
    <w:nsid w:val="2A775540"/>
    <w:multiLevelType w:val="hybridMultilevel"/>
    <w:tmpl w:val="9FD8C2FE"/>
    <w:lvl w:ilvl="0" w:tplc="1E5ABA68">
      <w:start w:val="1"/>
      <w:numFmt w:val="bullet"/>
      <w:lvlText w:val=""/>
      <w:lvlJc w:val="left"/>
      <w:pPr>
        <w:ind w:left="720" w:hanging="360"/>
      </w:pPr>
      <w:rPr>
        <w:rFonts w:ascii="Symbol" w:hAnsi="Symbol"/>
      </w:rPr>
    </w:lvl>
    <w:lvl w:ilvl="1" w:tplc="C624E236">
      <w:start w:val="1"/>
      <w:numFmt w:val="bullet"/>
      <w:lvlText w:val=""/>
      <w:lvlJc w:val="left"/>
      <w:pPr>
        <w:ind w:left="720" w:hanging="360"/>
      </w:pPr>
      <w:rPr>
        <w:rFonts w:ascii="Symbol" w:hAnsi="Symbol"/>
      </w:rPr>
    </w:lvl>
    <w:lvl w:ilvl="2" w:tplc="D7242C38">
      <w:start w:val="1"/>
      <w:numFmt w:val="bullet"/>
      <w:lvlText w:val=""/>
      <w:lvlJc w:val="left"/>
      <w:pPr>
        <w:ind w:left="720" w:hanging="360"/>
      </w:pPr>
      <w:rPr>
        <w:rFonts w:ascii="Symbol" w:hAnsi="Symbol"/>
      </w:rPr>
    </w:lvl>
    <w:lvl w:ilvl="3" w:tplc="D4C66470">
      <w:start w:val="1"/>
      <w:numFmt w:val="bullet"/>
      <w:lvlText w:val=""/>
      <w:lvlJc w:val="left"/>
      <w:pPr>
        <w:ind w:left="720" w:hanging="360"/>
      </w:pPr>
      <w:rPr>
        <w:rFonts w:ascii="Symbol" w:hAnsi="Symbol"/>
      </w:rPr>
    </w:lvl>
    <w:lvl w:ilvl="4" w:tplc="8E84F702">
      <w:start w:val="1"/>
      <w:numFmt w:val="bullet"/>
      <w:lvlText w:val=""/>
      <w:lvlJc w:val="left"/>
      <w:pPr>
        <w:ind w:left="720" w:hanging="360"/>
      </w:pPr>
      <w:rPr>
        <w:rFonts w:ascii="Symbol" w:hAnsi="Symbol"/>
      </w:rPr>
    </w:lvl>
    <w:lvl w:ilvl="5" w:tplc="CFC8C17C">
      <w:start w:val="1"/>
      <w:numFmt w:val="bullet"/>
      <w:lvlText w:val=""/>
      <w:lvlJc w:val="left"/>
      <w:pPr>
        <w:ind w:left="720" w:hanging="360"/>
      </w:pPr>
      <w:rPr>
        <w:rFonts w:ascii="Symbol" w:hAnsi="Symbol"/>
      </w:rPr>
    </w:lvl>
    <w:lvl w:ilvl="6" w:tplc="2E5CD530">
      <w:start w:val="1"/>
      <w:numFmt w:val="bullet"/>
      <w:lvlText w:val=""/>
      <w:lvlJc w:val="left"/>
      <w:pPr>
        <w:ind w:left="720" w:hanging="360"/>
      </w:pPr>
      <w:rPr>
        <w:rFonts w:ascii="Symbol" w:hAnsi="Symbol"/>
      </w:rPr>
    </w:lvl>
    <w:lvl w:ilvl="7" w:tplc="15B043F4">
      <w:start w:val="1"/>
      <w:numFmt w:val="bullet"/>
      <w:lvlText w:val=""/>
      <w:lvlJc w:val="left"/>
      <w:pPr>
        <w:ind w:left="720" w:hanging="360"/>
      </w:pPr>
      <w:rPr>
        <w:rFonts w:ascii="Symbol" w:hAnsi="Symbol"/>
      </w:rPr>
    </w:lvl>
    <w:lvl w:ilvl="8" w:tplc="439AFC66">
      <w:start w:val="1"/>
      <w:numFmt w:val="bullet"/>
      <w:lvlText w:val=""/>
      <w:lvlJc w:val="left"/>
      <w:pPr>
        <w:ind w:left="720" w:hanging="360"/>
      </w:pPr>
      <w:rPr>
        <w:rFonts w:ascii="Symbol" w:hAnsi="Symbol"/>
      </w:rPr>
    </w:lvl>
  </w:abstractNum>
  <w:abstractNum w:abstractNumId="17" w15:restartNumberingAfterBreak="0">
    <w:nsid w:val="2C5A2A0D"/>
    <w:multiLevelType w:val="multilevel"/>
    <w:tmpl w:val="D2D263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ED97E09"/>
    <w:multiLevelType w:val="hybridMultilevel"/>
    <w:tmpl w:val="FE20C578"/>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9" w15:restartNumberingAfterBreak="0">
    <w:nsid w:val="329E0F95"/>
    <w:multiLevelType w:val="hybridMultilevel"/>
    <w:tmpl w:val="043A9AB0"/>
    <w:lvl w:ilvl="0" w:tplc="F5241DF4">
      <w:start w:val="1"/>
      <w:numFmt w:val="bullet"/>
      <w:lvlText w:val="-"/>
      <w:lvlJc w:val="left"/>
      <w:pPr>
        <w:tabs>
          <w:tab w:val="num" w:pos="720"/>
        </w:tabs>
        <w:ind w:left="720" w:hanging="360"/>
      </w:pPr>
      <w:rPr>
        <w:rFonts w:ascii="Arial" w:hAnsi="Arial" w:hint="default"/>
      </w:rPr>
    </w:lvl>
    <w:lvl w:ilvl="1" w:tplc="63983A00" w:tentative="1">
      <w:start w:val="1"/>
      <w:numFmt w:val="bullet"/>
      <w:lvlText w:val="-"/>
      <w:lvlJc w:val="left"/>
      <w:pPr>
        <w:tabs>
          <w:tab w:val="num" w:pos="1440"/>
        </w:tabs>
        <w:ind w:left="1440" w:hanging="360"/>
      </w:pPr>
      <w:rPr>
        <w:rFonts w:ascii="Arial" w:hAnsi="Arial" w:hint="default"/>
      </w:rPr>
    </w:lvl>
    <w:lvl w:ilvl="2" w:tplc="97FAD79A" w:tentative="1">
      <w:start w:val="1"/>
      <w:numFmt w:val="bullet"/>
      <w:lvlText w:val="-"/>
      <w:lvlJc w:val="left"/>
      <w:pPr>
        <w:tabs>
          <w:tab w:val="num" w:pos="2160"/>
        </w:tabs>
        <w:ind w:left="2160" w:hanging="360"/>
      </w:pPr>
      <w:rPr>
        <w:rFonts w:ascii="Arial" w:hAnsi="Arial" w:hint="default"/>
      </w:rPr>
    </w:lvl>
    <w:lvl w:ilvl="3" w:tplc="EADA4726" w:tentative="1">
      <w:start w:val="1"/>
      <w:numFmt w:val="bullet"/>
      <w:lvlText w:val="-"/>
      <w:lvlJc w:val="left"/>
      <w:pPr>
        <w:tabs>
          <w:tab w:val="num" w:pos="2880"/>
        </w:tabs>
        <w:ind w:left="2880" w:hanging="360"/>
      </w:pPr>
      <w:rPr>
        <w:rFonts w:ascii="Arial" w:hAnsi="Arial" w:hint="default"/>
      </w:rPr>
    </w:lvl>
    <w:lvl w:ilvl="4" w:tplc="D8E20416" w:tentative="1">
      <w:start w:val="1"/>
      <w:numFmt w:val="bullet"/>
      <w:lvlText w:val="-"/>
      <w:lvlJc w:val="left"/>
      <w:pPr>
        <w:tabs>
          <w:tab w:val="num" w:pos="3600"/>
        </w:tabs>
        <w:ind w:left="3600" w:hanging="360"/>
      </w:pPr>
      <w:rPr>
        <w:rFonts w:ascii="Arial" w:hAnsi="Arial" w:hint="default"/>
      </w:rPr>
    </w:lvl>
    <w:lvl w:ilvl="5" w:tplc="FDF8DBE8" w:tentative="1">
      <w:start w:val="1"/>
      <w:numFmt w:val="bullet"/>
      <w:lvlText w:val="-"/>
      <w:lvlJc w:val="left"/>
      <w:pPr>
        <w:tabs>
          <w:tab w:val="num" w:pos="4320"/>
        </w:tabs>
        <w:ind w:left="4320" w:hanging="360"/>
      </w:pPr>
      <w:rPr>
        <w:rFonts w:ascii="Arial" w:hAnsi="Arial" w:hint="default"/>
      </w:rPr>
    </w:lvl>
    <w:lvl w:ilvl="6" w:tplc="FD287E1A" w:tentative="1">
      <w:start w:val="1"/>
      <w:numFmt w:val="bullet"/>
      <w:lvlText w:val="-"/>
      <w:lvlJc w:val="left"/>
      <w:pPr>
        <w:tabs>
          <w:tab w:val="num" w:pos="5040"/>
        </w:tabs>
        <w:ind w:left="5040" w:hanging="360"/>
      </w:pPr>
      <w:rPr>
        <w:rFonts w:ascii="Arial" w:hAnsi="Arial" w:hint="default"/>
      </w:rPr>
    </w:lvl>
    <w:lvl w:ilvl="7" w:tplc="3B2EC3DA" w:tentative="1">
      <w:start w:val="1"/>
      <w:numFmt w:val="bullet"/>
      <w:lvlText w:val="-"/>
      <w:lvlJc w:val="left"/>
      <w:pPr>
        <w:tabs>
          <w:tab w:val="num" w:pos="5760"/>
        </w:tabs>
        <w:ind w:left="5760" w:hanging="360"/>
      </w:pPr>
      <w:rPr>
        <w:rFonts w:ascii="Arial" w:hAnsi="Arial" w:hint="default"/>
      </w:rPr>
    </w:lvl>
    <w:lvl w:ilvl="8" w:tplc="155851E8"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35454FC2"/>
    <w:multiLevelType w:val="hybridMultilevel"/>
    <w:tmpl w:val="FD28A4E2"/>
    <w:lvl w:ilvl="0" w:tplc="23F848E8">
      <w:start w:val="1"/>
      <w:numFmt w:val="bullet"/>
      <w:lvlText w:val=""/>
      <w:lvlJc w:val="left"/>
      <w:pPr>
        <w:ind w:left="720" w:hanging="360"/>
      </w:pPr>
      <w:rPr>
        <w:rFonts w:ascii="Symbol" w:hAnsi="Symbol"/>
      </w:rPr>
    </w:lvl>
    <w:lvl w:ilvl="1" w:tplc="71262B34">
      <w:start w:val="1"/>
      <w:numFmt w:val="bullet"/>
      <w:lvlText w:val=""/>
      <w:lvlJc w:val="left"/>
      <w:pPr>
        <w:ind w:left="720" w:hanging="360"/>
      </w:pPr>
      <w:rPr>
        <w:rFonts w:ascii="Symbol" w:hAnsi="Symbol"/>
      </w:rPr>
    </w:lvl>
    <w:lvl w:ilvl="2" w:tplc="BF2EE6D0">
      <w:start w:val="1"/>
      <w:numFmt w:val="bullet"/>
      <w:lvlText w:val=""/>
      <w:lvlJc w:val="left"/>
      <w:pPr>
        <w:ind w:left="720" w:hanging="360"/>
      </w:pPr>
      <w:rPr>
        <w:rFonts w:ascii="Symbol" w:hAnsi="Symbol"/>
      </w:rPr>
    </w:lvl>
    <w:lvl w:ilvl="3" w:tplc="55808480">
      <w:start w:val="1"/>
      <w:numFmt w:val="bullet"/>
      <w:lvlText w:val=""/>
      <w:lvlJc w:val="left"/>
      <w:pPr>
        <w:ind w:left="720" w:hanging="360"/>
      </w:pPr>
      <w:rPr>
        <w:rFonts w:ascii="Symbol" w:hAnsi="Symbol"/>
      </w:rPr>
    </w:lvl>
    <w:lvl w:ilvl="4" w:tplc="99C0C366">
      <w:start w:val="1"/>
      <w:numFmt w:val="bullet"/>
      <w:lvlText w:val=""/>
      <w:lvlJc w:val="left"/>
      <w:pPr>
        <w:ind w:left="720" w:hanging="360"/>
      </w:pPr>
      <w:rPr>
        <w:rFonts w:ascii="Symbol" w:hAnsi="Symbol"/>
      </w:rPr>
    </w:lvl>
    <w:lvl w:ilvl="5" w:tplc="CB340FC8">
      <w:start w:val="1"/>
      <w:numFmt w:val="bullet"/>
      <w:lvlText w:val=""/>
      <w:lvlJc w:val="left"/>
      <w:pPr>
        <w:ind w:left="720" w:hanging="360"/>
      </w:pPr>
      <w:rPr>
        <w:rFonts w:ascii="Symbol" w:hAnsi="Symbol"/>
      </w:rPr>
    </w:lvl>
    <w:lvl w:ilvl="6" w:tplc="E182E830">
      <w:start w:val="1"/>
      <w:numFmt w:val="bullet"/>
      <w:lvlText w:val=""/>
      <w:lvlJc w:val="left"/>
      <w:pPr>
        <w:ind w:left="720" w:hanging="360"/>
      </w:pPr>
      <w:rPr>
        <w:rFonts w:ascii="Symbol" w:hAnsi="Symbol"/>
      </w:rPr>
    </w:lvl>
    <w:lvl w:ilvl="7" w:tplc="1900915A">
      <w:start w:val="1"/>
      <w:numFmt w:val="bullet"/>
      <w:lvlText w:val=""/>
      <w:lvlJc w:val="left"/>
      <w:pPr>
        <w:ind w:left="720" w:hanging="360"/>
      </w:pPr>
      <w:rPr>
        <w:rFonts w:ascii="Symbol" w:hAnsi="Symbol"/>
      </w:rPr>
    </w:lvl>
    <w:lvl w:ilvl="8" w:tplc="B2087B92">
      <w:start w:val="1"/>
      <w:numFmt w:val="bullet"/>
      <w:lvlText w:val=""/>
      <w:lvlJc w:val="left"/>
      <w:pPr>
        <w:ind w:left="720" w:hanging="360"/>
      </w:pPr>
      <w:rPr>
        <w:rFonts w:ascii="Symbol" w:hAnsi="Symbol"/>
      </w:rPr>
    </w:lvl>
  </w:abstractNum>
  <w:abstractNum w:abstractNumId="21" w15:restartNumberingAfterBreak="0">
    <w:nsid w:val="38F723E9"/>
    <w:multiLevelType w:val="hybridMultilevel"/>
    <w:tmpl w:val="523643CC"/>
    <w:lvl w:ilvl="0" w:tplc="43DA8866">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E410F28"/>
    <w:multiLevelType w:val="hybridMultilevel"/>
    <w:tmpl w:val="579C713C"/>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4" w15:restartNumberingAfterBreak="0">
    <w:nsid w:val="530B2709"/>
    <w:multiLevelType w:val="hybridMultilevel"/>
    <w:tmpl w:val="A1DA948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5" w15:restartNumberingAfterBreak="0">
    <w:nsid w:val="5A6C2CC1"/>
    <w:multiLevelType w:val="hybridMultilevel"/>
    <w:tmpl w:val="3E84BAB2"/>
    <w:lvl w:ilvl="0" w:tplc="EE968E28">
      <w:numFmt w:val="bullet"/>
      <w:lvlText w:val=""/>
      <w:lvlJc w:val="left"/>
      <w:pPr>
        <w:ind w:left="720" w:hanging="360"/>
      </w:pPr>
      <w:rPr>
        <w:rFonts w:ascii="Wingdings" w:eastAsia="Times New Roman"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77E1840"/>
    <w:multiLevelType w:val="hybridMultilevel"/>
    <w:tmpl w:val="0F5E0C1C"/>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8" w15:restartNumberingAfterBreak="0">
    <w:nsid w:val="6CA8412F"/>
    <w:multiLevelType w:val="hybridMultilevel"/>
    <w:tmpl w:val="5B5643EE"/>
    <w:lvl w:ilvl="0" w:tplc="2A52D05E">
      <w:start w:val="6"/>
      <w:numFmt w:val="bullet"/>
      <w:lvlText w:val="-"/>
      <w:lvlJc w:val="left"/>
      <w:pPr>
        <w:ind w:left="720" w:hanging="360"/>
      </w:pPr>
      <w:rPr>
        <w:rFonts w:ascii="Times" w:eastAsia="SimSun" w:hAnsi="Times" w:cs="Time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9" w15:restartNumberingAfterBreak="0">
    <w:nsid w:val="6ED777E9"/>
    <w:multiLevelType w:val="hybridMultilevel"/>
    <w:tmpl w:val="0B52A13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0" w15:restartNumberingAfterBreak="0">
    <w:nsid w:val="7D5A2F6D"/>
    <w:multiLevelType w:val="hybridMultilevel"/>
    <w:tmpl w:val="2EB2B24A"/>
    <w:lvl w:ilvl="0" w:tplc="7148796C">
      <w:start w:val="1"/>
      <w:numFmt w:val="bullet"/>
      <w:lvlText w:val=""/>
      <w:lvlJc w:val="left"/>
      <w:pPr>
        <w:ind w:left="720" w:hanging="360"/>
      </w:pPr>
      <w:rPr>
        <w:rFonts w:ascii="Symbol" w:hAnsi="Symbol"/>
      </w:rPr>
    </w:lvl>
    <w:lvl w:ilvl="1" w:tplc="A322BAC6">
      <w:start w:val="1"/>
      <w:numFmt w:val="bullet"/>
      <w:lvlText w:val=""/>
      <w:lvlJc w:val="left"/>
      <w:pPr>
        <w:ind w:left="720" w:hanging="360"/>
      </w:pPr>
      <w:rPr>
        <w:rFonts w:ascii="Symbol" w:hAnsi="Symbol"/>
      </w:rPr>
    </w:lvl>
    <w:lvl w:ilvl="2" w:tplc="B464EC80">
      <w:start w:val="1"/>
      <w:numFmt w:val="bullet"/>
      <w:lvlText w:val=""/>
      <w:lvlJc w:val="left"/>
      <w:pPr>
        <w:ind w:left="720" w:hanging="360"/>
      </w:pPr>
      <w:rPr>
        <w:rFonts w:ascii="Symbol" w:hAnsi="Symbol"/>
      </w:rPr>
    </w:lvl>
    <w:lvl w:ilvl="3" w:tplc="67BAE808">
      <w:start w:val="1"/>
      <w:numFmt w:val="bullet"/>
      <w:lvlText w:val=""/>
      <w:lvlJc w:val="left"/>
      <w:pPr>
        <w:ind w:left="720" w:hanging="360"/>
      </w:pPr>
      <w:rPr>
        <w:rFonts w:ascii="Symbol" w:hAnsi="Symbol"/>
      </w:rPr>
    </w:lvl>
    <w:lvl w:ilvl="4" w:tplc="29F609A6">
      <w:start w:val="1"/>
      <w:numFmt w:val="bullet"/>
      <w:lvlText w:val=""/>
      <w:lvlJc w:val="left"/>
      <w:pPr>
        <w:ind w:left="720" w:hanging="360"/>
      </w:pPr>
      <w:rPr>
        <w:rFonts w:ascii="Symbol" w:hAnsi="Symbol"/>
      </w:rPr>
    </w:lvl>
    <w:lvl w:ilvl="5" w:tplc="6DF6E498">
      <w:start w:val="1"/>
      <w:numFmt w:val="bullet"/>
      <w:lvlText w:val=""/>
      <w:lvlJc w:val="left"/>
      <w:pPr>
        <w:ind w:left="720" w:hanging="360"/>
      </w:pPr>
      <w:rPr>
        <w:rFonts w:ascii="Symbol" w:hAnsi="Symbol"/>
      </w:rPr>
    </w:lvl>
    <w:lvl w:ilvl="6" w:tplc="5686C760">
      <w:start w:val="1"/>
      <w:numFmt w:val="bullet"/>
      <w:lvlText w:val=""/>
      <w:lvlJc w:val="left"/>
      <w:pPr>
        <w:ind w:left="720" w:hanging="360"/>
      </w:pPr>
      <w:rPr>
        <w:rFonts w:ascii="Symbol" w:hAnsi="Symbol"/>
      </w:rPr>
    </w:lvl>
    <w:lvl w:ilvl="7" w:tplc="4C46A350">
      <w:start w:val="1"/>
      <w:numFmt w:val="bullet"/>
      <w:lvlText w:val=""/>
      <w:lvlJc w:val="left"/>
      <w:pPr>
        <w:ind w:left="720" w:hanging="360"/>
      </w:pPr>
      <w:rPr>
        <w:rFonts w:ascii="Symbol" w:hAnsi="Symbol"/>
      </w:rPr>
    </w:lvl>
    <w:lvl w:ilvl="8" w:tplc="A8BCAE04">
      <w:start w:val="1"/>
      <w:numFmt w:val="bullet"/>
      <w:lvlText w:val=""/>
      <w:lvlJc w:val="left"/>
      <w:pPr>
        <w:ind w:left="720" w:hanging="360"/>
      </w:pPr>
      <w:rPr>
        <w:rFonts w:ascii="Symbol" w:hAnsi="Symbol"/>
      </w:rPr>
    </w:lvl>
  </w:abstractNum>
  <w:num w:numId="1">
    <w:abstractNumId w:val="22"/>
  </w:num>
  <w:num w:numId="2">
    <w:abstractNumId w:val="26"/>
  </w:num>
  <w:num w:numId="3">
    <w:abstractNumId w:val="28"/>
  </w:num>
  <w:num w:numId="4">
    <w:abstractNumId w:val="12"/>
  </w:num>
  <w:num w:numId="5">
    <w:abstractNumId w:val="14"/>
  </w:num>
  <w:num w:numId="6">
    <w:abstractNumId w:val="10"/>
  </w:num>
  <w:num w:numId="7">
    <w:abstractNumId w:val="24"/>
  </w:num>
  <w:num w:numId="8">
    <w:abstractNumId w:val="15"/>
  </w:num>
  <w:num w:numId="9">
    <w:abstractNumId w:val="27"/>
  </w:num>
  <w:num w:numId="10">
    <w:abstractNumId w:val="18"/>
  </w:num>
  <w:num w:numId="11">
    <w:abstractNumId w:val="23"/>
  </w:num>
  <w:num w:numId="12">
    <w:abstractNumId w:val="11"/>
  </w:num>
  <w:num w:numId="13">
    <w:abstractNumId w:val="29"/>
  </w:num>
  <w:num w:numId="14">
    <w:abstractNumId w:val="0"/>
  </w:num>
  <w:num w:numId="15">
    <w:abstractNumId w:val="1"/>
  </w:num>
  <w:num w:numId="16">
    <w:abstractNumId w:val="2"/>
  </w:num>
  <w:num w:numId="17">
    <w:abstractNumId w:val="3"/>
  </w:num>
  <w:num w:numId="18">
    <w:abstractNumId w:val="4"/>
  </w:num>
  <w:num w:numId="19">
    <w:abstractNumId w:val="5"/>
  </w:num>
  <w:num w:numId="20">
    <w:abstractNumId w:val="6"/>
  </w:num>
  <w:num w:numId="21">
    <w:abstractNumId w:val="7"/>
  </w:num>
  <w:num w:numId="22">
    <w:abstractNumId w:val="8"/>
  </w:num>
  <w:num w:numId="23">
    <w:abstractNumId w:val="9"/>
  </w:num>
  <w:num w:numId="24">
    <w:abstractNumId w:val="13"/>
  </w:num>
  <w:num w:numId="25">
    <w:abstractNumId w:val="19"/>
  </w:num>
  <w:num w:numId="26">
    <w:abstractNumId w:val="25"/>
  </w:num>
  <w:num w:numId="27">
    <w:abstractNumId w:val="21"/>
  </w:num>
  <w:num w:numId="28">
    <w:abstractNumId w:val="17"/>
  </w:num>
  <w:num w:numId="29">
    <w:abstractNumId w:val="16"/>
  </w:num>
  <w:num w:numId="30">
    <w:abstractNumId w:val="20"/>
  </w:num>
  <w:num w:numId="31">
    <w:abstractNumId w:val="3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hideGrammaticalErrors/>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US" w:vendorID="64" w:dllVersion="0" w:nlCheck="1" w:checkStyle="0"/>
  <w:activeWritingStyle w:appName="MSWord" w:lang="de-DE"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US" w:vendorID="64" w:dllVersion="131078" w:nlCheck="1" w:checkStyle="1"/>
  <w:activeWritingStyle w:appName="MSWord" w:lang="en-GB" w:vendorID="64" w:dllVersion="131078" w:nlCheck="1" w:checkStyle="1"/>
  <w:attachedTemplate r:id="rId1"/>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defaultTabStop w:val="720"/>
  <w:autoHyphenation/>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czMjEyN7Y0Mjc3NjBV0lEKTi0uzszPAykwMrCsBQCb5o4cLgAAAA=="/>
  </w:docVars>
  <w:rsids>
    <w:rsidRoot w:val="00CE6E7B"/>
    <w:rsid w:val="0000011A"/>
    <w:rsid w:val="000005E6"/>
    <w:rsid w:val="00000692"/>
    <w:rsid w:val="000007FA"/>
    <w:rsid w:val="0000094F"/>
    <w:rsid w:val="00000C0D"/>
    <w:rsid w:val="00001263"/>
    <w:rsid w:val="000012D9"/>
    <w:rsid w:val="000012EF"/>
    <w:rsid w:val="00001364"/>
    <w:rsid w:val="00001656"/>
    <w:rsid w:val="00001803"/>
    <w:rsid w:val="00001899"/>
    <w:rsid w:val="000018B9"/>
    <w:rsid w:val="000019EB"/>
    <w:rsid w:val="00001C49"/>
    <w:rsid w:val="00002311"/>
    <w:rsid w:val="000024B9"/>
    <w:rsid w:val="000025A7"/>
    <w:rsid w:val="00002BE5"/>
    <w:rsid w:val="00002DB8"/>
    <w:rsid w:val="0000345C"/>
    <w:rsid w:val="000035A9"/>
    <w:rsid w:val="00003ACE"/>
    <w:rsid w:val="00003C8F"/>
    <w:rsid w:val="00004226"/>
    <w:rsid w:val="000042EE"/>
    <w:rsid w:val="000044A9"/>
    <w:rsid w:val="000044B9"/>
    <w:rsid w:val="0000494F"/>
    <w:rsid w:val="000049AD"/>
    <w:rsid w:val="00004FF3"/>
    <w:rsid w:val="0000510B"/>
    <w:rsid w:val="00005283"/>
    <w:rsid w:val="0000533B"/>
    <w:rsid w:val="000055A6"/>
    <w:rsid w:val="0000569E"/>
    <w:rsid w:val="00005EF0"/>
    <w:rsid w:val="00005F8E"/>
    <w:rsid w:val="00005FBD"/>
    <w:rsid w:val="000060CD"/>
    <w:rsid w:val="00006227"/>
    <w:rsid w:val="00006605"/>
    <w:rsid w:val="00006690"/>
    <w:rsid w:val="0000681B"/>
    <w:rsid w:val="000070EB"/>
    <w:rsid w:val="0000715E"/>
    <w:rsid w:val="000071A9"/>
    <w:rsid w:val="0000734B"/>
    <w:rsid w:val="0000741B"/>
    <w:rsid w:val="00007704"/>
    <w:rsid w:val="0000798F"/>
    <w:rsid w:val="00007EFD"/>
    <w:rsid w:val="00010438"/>
    <w:rsid w:val="000106F4"/>
    <w:rsid w:val="00010756"/>
    <w:rsid w:val="00010820"/>
    <w:rsid w:val="00010911"/>
    <w:rsid w:val="00010EDF"/>
    <w:rsid w:val="000110C3"/>
    <w:rsid w:val="000113C8"/>
    <w:rsid w:val="000113CE"/>
    <w:rsid w:val="000113D0"/>
    <w:rsid w:val="0001167B"/>
    <w:rsid w:val="000117F8"/>
    <w:rsid w:val="0001189A"/>
    <w:rsid w:val="000119BA"/>
    <w:rsid w:val="00011AC7"/>
    <w:rsid w:val="00011B1D"/>
    <w:rsid w:val="00011D4E"/>
    <w:rsid w:val="0001207B"/>
    <w:rsid w:val="0001217E"/>
    <w:rsid w:val="00012328"/>
    <w:rsid w:val="00012712"/>
    <w:rsid w:val="00012A43"/>
    <w:rsid w:val="000133C0"/>
    <w:rsid w:val="00013652"/>
    <w:rsid w:val="000136DB"/>
    <w:rsid w:val="00013A95"/>
    <w:rsid w:val="00013D6C"/>
    <w:rsid w:val="00013D8D"/>
    <w:rsid w:val="00013E91"/>
    <w:rsid w:val="00013FBF"/>
    <w:rsid w:val="000140C8"/>
    <w:rsid w:val="0001453B"/>
    <w:rsid w:val="00014695"/>
    <w:rsid w:val="00014C4E"/>
    <w:rsid w:val="00015553"/>
    <w:rsid w:val="00015AD6"/>
    <w:rsid w:val="00015B98"/>
    <w:rsid w:val="00015D3F"/>
    <w:rsid w:val="00015E51"/>
    <w:rsid w:val="00015E64"/>
    <w:rsid w:val="00015E83"/>
    <w:rsid w:val="00015EF6"/>
    <w:rsid w:val="00015F45"/>
    <w:rsid w:val="00016173"/>
    <w:rsid w:val="00016281"/>
    <w:rsid w:val="00016A65"/>
    <w:rsid w:val="00016C0B"/>
    <w:rsid w:val="00016CC7"/>
    <w:rsid w:val="00016D77"/>
    <w:rsid w:val="00017107"/>
    <w:rsid w:val="00017165"/>
    <w:rsid w:val="00017305"/>
    <w:rsid w:val="00017515"/>
    <w:rsid w:val="00017A40"/>
    <w:rsid w:val="00017C57"/>
    <w:rsid w:val="000200EE"/>
    <w:rsid w:val="00020260"/>
    <w:rsid w:val="000202E2"/>
    <w:rsid w:val="000203A1"/>
    <w:rsid w:val="000203DF"/>
    <w:rsid w:val="00020466"/>
    <w:rsid w:val="000208C4"/>
    <w:rsid w:val="00020A15"/>
    <w:rsid w:val="00020D25"/>
    <w:rsid w:val="00020E49"/>
    <w:rsid w:val="00021A5C"/>
    <w:rsid w:val="00021C56"/>
    <w:rsid w:val="00021E72"/>
    <w:rsid w:val="000221A9"/>
    <w:rsid w:val="00022441"/>
    <w:rsid w:val="000225CD"/>
    <w:rsid w:val="0002261E"/>
    <w:rsid w:val="00022C26"/>
    <w:rsid w:val="00022EE5"/>
    <w:rsid w:val="00023401"/>
    <w:rsid w:val="0002348F"/>
    <w:rsid w:val="00023573"/>
    <w:rsid w:val="00023676"/>
    <w:rsid w:val="000237A0"/>
    <w:rsid w:val="00023AF9"/>
    <w:rsid w:val="00023BB9"/>
    <w:rsid w:val="00023C5E"/>
    <w:rsid w:val="00023E4C"/>
    <w:rsid w:val="000241CD"/>
    <w:rsid w:val="000246F4"/>
    <w:rsid w:val="00024839"/>
    <w:rsid w:val="00024B64"/>
    <w:rsid w:val="00024C83"/>
    <w:rsid w:val="0002519C"/>
    <w:rsid w:val="00026313"/>
    <w:rsid w:val="00026661"/>
    <w:rsid w:val="00026871"/>
    <w:rsid w:val="00026AC8"/>
    <w:rsid w:val="00027000"/>
    <w:rsid w:val="000273FE"/>
    <w:rsid w:val="000277B9"/>
    <w:rsid w:val="00027830"/>
    <w:rsid w:val="0002785D"/>
    <w:rsid w:val="00027B3F"/>
    <w:rsid w:val="00030164"/>
    <w:rsid w:val="000304FB"/>
    <w:rsid w:val="0003052C"/>
    <w:rsid w:val="000306E4"/>
    <w:rsid w:val="000307EF"/>
    <w:rsid w:val="00030936"/>
    <w:rsid w:val="00031002"/>
    <w:rsid w:val="000311C0"/>
    <w:rsid w:val="00031516"/>
    <w:rsid w:val="00031662"/>
    <w:rsid w:val="000316B8"/>
    <w:rsid w:val="000319AC"/>
    <w:rsid w:val="000319BA"/>
    <w:rsid w:val="00031EF1"/>
    <w:rsid w:val="00031EFC"/>
    <w:rsid w:val="00031F97"/>
    <w:rsid w:val="000323FE"/>
    <w:rsid w:val="000329F4"/>
    <w:rsid w:val="00032DAF"/>
    <w:rsid w:val="00032E8F"/>
    <w:rsid w:val="00033345"/>
    <w:rsid w:val="00033417"/>
    <w:rsid w:val="000336FA"/>
    <w:rsid w:val="00033BC2"/>
    <w:rsid w:val="00033C75"/>
    <w:rsid w:val="00033D48"/>
    <w:rsid w:val="000344D0"/>
    <w:rsid w:val="00034610"/>
    <w:rsid w:val="000346D9"/>
    <w:rsid w:val="000349C2"/>
    <w:rsid w:val="00034A7E"/>
    <w:rsid w:val="00034AB6"/>
    <w:rsid w:val="00034DA6"/>
    <w:rsid w:val="0003527F"/>
    <w:rsid w:val="000354A2"/>
    <w:rsid w:val="00035606"/>
    <w:rsid w:val="000358F7"/>
    <w:rsid w:val="00035913"/>
    <w:rsid w:val="000363CC"/>
    <w:rsid w:val="00036EE3"/>
    <w:rsid w:val="00037060"/>
    <w:rsid w:val="0003729C"/>
    <w:rsid w:val="0003781C"/>
    <w:rsid w:val="000379BF"/>
    <w:rsid w:val="000379D3"/>
    <w:rsid w:val="00037A98"/>
    <w:rsid w:val="0004044B"/>
    <w:rsid w:val="0004066D"/>
    <w:rsid w:val="0004086D"/>
    <w:rsid w:val="00040A2D"/>
    <w:rsid w:val="00040E2F"/>
    <w:rsid w:val="00040FB7"/>
    <w:rsid w:val="000410D1"/>
    <w:rsid w:val="000412C7"/>
    <w:rsid w:val="00041473"/>
    <w:rsid w:val="000414E8"/>
    <w:rsid w:val="000415C2"/>
    <w:rsid w:val="000415C3"/>
    <w:rsid w:val="00041AF5"/>
    <w:rsid w:val="00041EC9"/>
    <w:rsid w:val="00041F0B"/>
    <w:rsid w:val="000421BD"/>
    <w:rsid w:val="00042371"/>
    <w:rsid w:val="00042397"/>
    <w:rsid w:val="000427FB"/>
    <w:rsid w:val="00042DA8"/>
    <w:rsid w:val="0004357A"/>
    <w:rsid w:val="0004360E"/>
    <w:rsid w:val="00043B83"/>
    <w:rsid w:val="00044434"/>
    <w:rsid w:val="000444B5"/>
    <w:rsid w:val="0004455E"/>
    <w:rsid w:val="0004476C"/>
    <w:rsid w:val="000447D4"/>
    <w:rsid w:val="00044E27"/>
    <w:rsid w:val="000451C6"/>
    <w:rsid w:val="00045261"/>
    <w:rsid w:val="00045640"/>
    <w:rsid w:val="00045B8F"/>
    <w:rsid w:val="00045C57"/>
    <w:rsid w:val="00045E8C"/>
    <w:rsid w:val="000461C7"/>
    <w:rsid w:val="00046979"/>
    <w:rsid w:val="00047157"/>
    <w:rsid w:val="0004768D"/>
    <w:rsid w:val="00047B5E"/>
    <w:rsid w:val="00047C98"/>
    <w:rsid w:val="00047CB5"/>
    <w:rsid w:val="00047E53"/>
    <w:rsid w:val="0005026D"/>
    <w:rsid w:val="00050461"/>
    <w:rsid w:val="000507A1"/>
    <w:rsid w:val="000507AC"/>
    <w:rsid w:val="00050862"/>
    <w:rsid w:val="0005092C"/>
    <w:rsid w:val="000509A0"/>
    <w:rsid w:val="000509E7"/>
    <w:rsid w:val="00050E4E"/>
    <w:rsid w:val="00051051"/>
    <w:rsid w:val="000510F5"/>
    <w:rsid w:val="00051375"/>
    <w:rsid w:val="0005143F"/>
    <w:rsid w:val="0005149F"/>
    <w:rsid w:val="000515B3"/>
    <w:rsid w:val="0005163E"/>
    <w:rsid w:val="0005186A"/>
    <w:rsid w:val="00051C9D"/>
    <w:rsid w:val="00051FAA"/>
    <w:rsid w:val="00052171"/>
    <w:rsid w:val="00052420"/>
    <w:rsid w:val="000527E9"/>
    <w:rsid w:val="000528A6"/>
    <w:rsid w:val="00052A27"/>
    <w:rsid w:val="00052B3E"/>
    <w:rsid w:val="00052D8A"/>
    <w:rsid w:val="0005357E"/>
    <w:rsid w:val="000536D7"/>
    <w:rsid w:val="00053860"/>
    <w:rsid w:val="00054648"/>
    <w:rsid w:val="000546B1"/>
    <w:rsid w:val="00054A69"/>
    <w:rsid w:val="00054EBD"/>
    <w:rsid w:val="0005532C"/>
    <w:rsid w:val="000555FE"/>
    <w:rsid w:val="00055C6A"/>
    <w:rsid w:val="00055E8D"/>
    <w:rsid w:val="00055F82"/>
    <w:rsid w:val="0005621C"/>
    <w:rsid w:val="000563BC"/>
    <w:rsid w:val="00056781"/>
    <w:rsid w:val="00056A4F"/>
    <w:rsid w:val="0005705A"/>
    <w:rsid w:val="00057279"/>
    <w:rsid w:val="000572A9"/>
    <w:rsid w:val="00057305"/>
    <w:rsid w:val="0005750B"/>
    <w:rsid w:val="00057580"/>
    <w:rsid w:val="00057ACC"/>
    <w:rsid w:val="00057B3D"/>
    <w:rsid w:val="00057C40"/>
    <w:rsid w:val="0006009E"/>
    <w:rsid w:val="0006028A"/>
    <w:rsid w:val="000603B6"/>
    <w:rsid w:val="0006040C"/>
    <w:rsid w:val="0006049B"/>
    <w:rsid w:val="00060A0D"/>
    <w:rsid w:val="00060EF8"/>
    <w:rsid w:val="00061325"/>
    <w:rsid w:val="00061494"/>
    <w:rsid w:val="0006178B"/>
    <w:rsid w:val="000619FE"/>
    <w:rsid w:val="00061BCB"/>
    <w:rsid w:val="00062A2B"/>
    <w:rsid w:val="00062BD5"/>
    <w:rsid w:val="00062C05"/>
    <w:rsid w:val="0006358A"/>
    <w:rsid w:val="00064030"/>
    <w:rsid w:val="00064051"/>
    <w:rsid w:val="000644F3"/>
    <w:rsid w:val="0006495B"/>
    <w:rsid w:val="00064BAB"/>
    <w:rsid w:val="0006518E"/>
    <w:rsid w:val="000651AC"/>
    <w:rsid w:val="000655EC"/>
    <w:rsid w:val="000656EC"/>
    <w:rsid w:val="00065B16"/>
    <w:rsid w:val="00065E98"/>
    <w:rsid w:val="000662EA"/>
    <w:rsid w:val="00066607"/>
    <w:rsid w:val="00066898"/>
    <w:rsid w:val="00066958"/>
    <w:rsid w:val="00067146"/>
    <w:rsid w:val="000672A6"/>
    <w:rsid w:val="000675E3"/>
    <w:rsid w:val="000676D0"/>
    <w:rsid w:val="00067B15"/>
    <w:rsid w:val="00067D09"/>
    <w:rsid w:val="00067D71"/>
    <w:rsid w:val="00067E72"/>
    <w:rsid w:val="00067FEF"/>
    <w:rsid w:val="00070030"/>
    <w:rsid w:val="00070111"/>
    <w:rsid w:val="00070287"/>
    <w:rsid w:val="000705F6"/>
    <w:rsid w:val="00070719"/>
    <w:rsid w:val="00070A4C"/>
    <w:rsid w:val="00070D5A"/>
    <w:rsid w:val="00071490"/>
    <w:rsid w:val="000716AD"/>
    <w:rsid w:val="00071841"/>
    <w:rsid w:val="0007185C"/>
    <w:rsid w:val="00071C54"/>
    <w:rsid w:val="00072247"/>
    <w:rsid w:val="0007263C"/>
    <w:rsid w:val="00072F49"/>
    <w:rsid w:val="00073043"/>
    <w:rsid w:val="000731AD"/>
    <w:rsid w:val="000733AC"/>
    <w:rsid w:val="000734EF"/>
    <w:rsid w:val="00073658"/>
    <w:rsid w:val="000737B4"/>
    <w:rsid w:val="00073AA8"/>
    <w:rsid w:val="00073BA9"/>
    <w:rsid w:val="00073C23"/>
    <w:rsid w:val="00074035"/>
    <w:rsid w:val="00074121"/>
    <w:rsid w:val="000742A2"/>
    <w:rsid w:val="00074335"/>
    <w:rsid w:val="0007484D"/>
    <w:rsid w:val="00074B81"/>
    <w:rsid w:val="00074D22"/>
    <w:rsid w:val="00075018"/>
    <w:rsid w:val="00075081"/>
    <w:rsid w:val="00075259"/>
    <w:rsid w:val="0007528A"/>
    <w:rsid w:val="000753AE"/>
    <w:rsid w:val="00075694"/>
    <w:rsid w:val="00075782"/>
    <w:rsid w:val="00075A0B"/>
    <w:rsid w:val="00075DA7"/>
    <w:rsid w:val="000760CA"/>
    <w:rsid w:val="000763F3"/>
    <w:rsid w:val="00076757"/>
    <w:rsid w:val="00076947"/>
    <w:rsid w:val="0007696B"/>
    <w:rsid w:val="00076AE6"/>
    <w:rsid w:val="00076B50"/>
    <w:rsid w:val="00077128"/>
    <w:rsid w:val="00077240"/>
    <w:rsid w:val="00077850"/>
    <w:rsid w:val="00077C1A"/>
    <w:rsid w:val="00077CF1"/>
    <w:rsid w:val="00077E42"/>
    <w:rsid w:val="00077FAD"/>
    <w:rsid w:val="00080525"/>
    <w:rsid w:val="00080A79"/>
    <w:rsid w:val="00080B3E"/>
    <w:rsid w:val="00080BD1"/>
    <w:rsid w:val="000811AB"/>
    <w:rsid w:val="000818EF"/>
    <w:rsid w:val="00081931"/>
    <w:rsid w:val="00081AAC"/>
    <w:rsid w:val="00081AE2"/>
    <w:rsid w:val="00081C5A"/>
    <w:rsid w:val="00081D50"/>
    <w:rsid w:val="00081EB1"/>
    <w:rsid w:val="00081F89"/>
    <w:rsid w:val="0008216D"/>
    <w:rsid w:val="000826EE"/>
    <w:rsid w:val="00082A96"/>
    <w:rsid w:val="00082C6A"/>
    <w:rsid w:val="000830FC"/>
    <w:rsid w:val="0008321D"/>
    <w:rsid w:val="000833D4"/>
    <w:rsid w:val="000837FD"/>
    <w:rsid w:val="00083C5F"/>
    <w:rsid w:val="00083D64"/>
    <w:rsid w:val="0008417E"/>
    <w:rsid w:val="000841A7"/>
    <w:rsid w:val="000842AA"/>
    <w:rsid w:val="000843B0"/>
    <w:rsid w:val="0008443A"/>
    <w:rsid w:val="000844E3"/>
    <w:rsid w:val="0008498E"/>
    <w:rsid w:val="00084AA6"/>
    <w:rsid w:val="00084AAA"/>
    <w:rsid w:val="00084B2F"/>
    <w:rsid w:val="000853F3"/>
    <w:rsid w:val="00085548"/>
    <w:rsid w:val="00085589"/>
    <w:rsid w:val="000859CC"/>
    <w:rsid w:val="00085D29"/>
    <w:rsid w:val="00085DB5"/>
    <w:rsid w:val="000860CB"/>
    <w:rsid w:val="000861C7"/>
    <w:rsid w:val="000861CF"/>
    <w:rsid w:val="000866A7"/>
    <w:rsid w:val="00086899"/>
    <w:rsid w:val="000868DF"/>
    <w:rsid w:val="00086D09"/>
    <w:rsid w:val="00087616"/>
    <w:rsid w:val="00087775"/>
    <w:rsid w:val="000905C8"/>
    <w:rsid w:val="00090D38"/>
    <w:rsid w:val="000910A4"/>
    <w:rsid w:val="00091123"/>
    <w:rsid w:val="0009149A"/>
    <w:rsid w:val="000916B7"/>
    <w:rsid w:val="0009172C"/>
    <w:rsid w:val="00091BBA"/>
    <w:rsid w:val="00092022"/>
    <w:rsid w:val="00092144"/>
    <w:rsid w:val="00092182"/>
    <w:rsid w:val="0009223B"/>
    <w:rsid w:val="00092342"/>
    <w:rsid w:val="0009279C"/>
    <w:rsid w:val="00092ADE"/>
    <w:rsid w:val="000930EC"/>
    <w:rsid w:val="0009310E"/>
    <w:rsid w:val="0009313C"/>
    <w:rsid w:val="000931C1"/>
    <w:rsid w:val="0009335D"/>
    <w:rsid w:val="00093382"/>
    <w:rsid w:val="000939D9"/>
    <w:rsid w:val="00093DA1"/>
    <w:rsid w:val="00093F11"/>
    <w:rsid w:val="0009462C"/>
    <w:rsid w:val="0009466C"/>
    <w:rsid w:val="00094A0D"/>
    <w:rsid w:val="00094BC6"/>
    <w:rsid w:val="00094E5A"/>
    <w:rsid w:val="00094EE4"/>
    <w:rsid w:val="00094F3E"/>
    <w:rsid w:val="00095907"/>
    <w:rsid w:val="00095E61"/>
    <w:rsid w:val="00096661"/>
    <w:rsid w:val="000966C1"/>
    <w:rsid w:val="000968ED"/>
    <w:rsid w:val="00096A99"/>
    <w:rsid w:val="00096ACF"/>
    <w:rsid w:val="000970AC"/>
    <w:rsid w:val="00097275"/>
    <w:rsid w:val="00097403"/>
    <w:rsid w:val="00097575"/>
    <w:rsid w:val="000975C1"/>
    <w:rsid w:val="0009760E"/>
    <w:rsid w:val="00097655"/>
    <w:rsid w:val="00097748"/>
    <w:rsid w:val="00097CCF"/>
    <w:rsid w:val="00097E1C"/>
    <w:rsid w:val="00097F9E"/>
    <w:rsid w:val="000A0040"/>
    <w:rsid w:val="000A01C3"/>
    <w:rsid w:val="000A0675"/>
    <w:rsid w:val="000A091A"/>
    <w:rsid w:val="000A099C"/>
    <w:rsid w:val="000A1167"/>
    <w:rsid w:val="000A124C"/>
    <w:rsid w:val="000A1826"/>
    <w:rsid w:val="000A1C50"/>
    <w:rsid w:val="000A1D59"/>
    <w:rsid w:val="000A1E95"/>
    <w:rsid w:val="000A1F13"/>
    <w:rsid w:val="000A265D"/>
    <w:rsid w:val="000A27AC"/>
    <w:rsid w:val="000A28EC"/>
    <w:rsid w:val="000A2A30"/>
    <w:rsid w:val="000A3152"/>
    <w:rsid w:val="000A3351"/>
    <w:rsid w:val="000A36C0"/>
    <w:rsid w:val="000A3B31"/>
    <w:rsid w:val="000A3DF1"/>
    <w:rsid w:val="000A3EBD"/>
    <w:rsid w:val="000A4152"/>
    <w:rsid w:val="000A4428"/>
    <w:rsid w:val="000A4923"/>
    <w:rsid w:val="000A4B00"/>
    <w:rsid w:val="000A508B"/>
    <w:rsid w:val="000A53F6"/>
    <w:rsid w:val="000A5609"/>
    <w:rsid w:val="000A591C"/>
    <w:rsid w:val="000A5AEB"/>
    <w:rsid w:val="000A5E28"/>
    <w:rsid w:val="000A631C"/>
    <w:rsid w:val="000A6B51"/>
    <w:rsid w:val="000A6D40"/>
    <w:rsid w:val="000A6DE0"/>
    <w:rsid w:val="000A736E"/>
    <w:rsid w:val="000A759A"/>
    <w:rsid w:val="000A760D"/>
    <w:rsid w:val="000A77D5"/>
    <w:rsid w:val="000A7A65"/>
    <w:rsid w:val="000A7BC3"/>
    <w:rsid w:val="000A7D7F"/>
    <w:rsid w:val="000A7E54"/>
    <w:rsid w:val="000B026F"/>
    <w:rsid w:val="000B028F"/>
    <w:rsid w:val="000B0565"/>
    <w:rsid w:val="000B08F0"/>
    <w:rsid w:val="000B0ECA"/>
    <w:rsid w:val="000B0F6F"/>
    <w:rsid w:val="000B0FC0"/>
    <w:rsid w:val="000B1147"/>
    <w:rsid w:val="000B1362"/>
    <w:rsid w:val="000B14D7"/>
    <w:rsid w:val="000B1661"/>
    <w:rsid w:val="000B16B9"/>
    <w:rsid w:val="000B1743"/>
    <w:rsid w:val="000B180F"/>
    <w:rsid w:val="000B1E83"/>
    <w:rsid w:val="000B1F0B"/>
    <w:rsid w:val="000B1FF8"/>
    <w:rsid w:val="000B21A6"/>
    <w:rsid w:val="000B2355"/>
    <w:rsid w:val="000B244B"/>
    <w:rsid w:val="000B263E"/>
    <w:rsid w:val="000B26C3"/>
    <w:rsid w:val="000B2BAD"/>
    <w:rsid w:val="000B2BD6"/>
    <w:rsid w:val="000B2E88"/>
    <w:rsid w:val="000B3165"/>
    <w:rsid w:val="000B33EF"/>
    <w:rsid w:val="000B3C23"/>
    <w:rsid w:val="000B3E26"/>
    <w:rsid w:val="000B4231"/>
    <w:rsid w:val="000B4603"/>
    <w:rsid w:val="000B4897"/>
    <w:rsid w:val="000B48AB"/>
    <w:rsid w:val="000B4985"/>
    <w:rsid w:val="000B4BAE"/>
    <w:rsid w:val="000B51FE"/>
    <w:rsid w:val="000B53DC"/>
    <w:rsid w:val="000B5695"/>
    <w:rsid w:val="000B5789"/>
    <w:rsid w:val="000B59A1"/>
    <w:rsid w:val="000B5B88"/>
    <w:rsid w:val="000B5D07"/>
    <w:rsid w:val="000B60E0"/>
    <w:rsid w:val="000B6178"/>
    <w:rsid w:val="000B6597"/>
    <w:rsid w:val="000B6B42"/>
    <w:rsid w:val="000B6C02"/>
    <w:rsid w:val="000B70E4"/>
    <w:rsid w:val="000B72F6"/>
    <w:rsid w:val="000B74D6"/>
    <w:rsid w:val="000B772B"/>
    <w:rsid w:val="000B78E3"/>
    <w:rsid w:val="000C01F4"/>
    <w:rsid w:val="000C08AC"/>
    <w:rsid w:val="000C09BE"/>
    <w:rsid w:val="000C0D70"/>
    <w:rsid w:val="000C0F48"/>
    <w:rsid w:val="000C1017"/>
    <w:rsid w:val="000C125C"/>
    <w:rsid w:val="000C1380"/>
    <w:rsid w:val="000C1390"/>
    <w:rsid w:val="000C19D5"/>
    <w:rsid w:val="000C1D58"/>
    <w:rsid w:val="000C1DCA"/>
    <w:rsid w:val="000C26D9"/>
    <w:rsid w:val="000C2763"/>
    <w:rsid w:val="000C2F26"/>
    <w:rsid w:val="000C321E"/>
    <w:rsid w:val="000C363D"/>
    <w:rsid w:val="000C37D7"/>
    <w:rsid w:val="000C3934"/>
    <w:rsid w:val="000C3DD2"/>
    <w:rsid w:val="000C3E20"/>
    <w:rsid w:val="000C414E"/>
    <w:rsid w:val="000C4166"/>
    <w:rsid w:val="000C41E3"/>
    <w:rsid w:val="000C43F5"/>
    <w:rsid w:val="000C46A9"/>
    <w:rsid w:val="000C4A10"/>
    <w:rsid w:val="000C4AA7"/>
    <w:rsid w:val="000C5042"/>
    <w:rsid w:val="000C5063"/>
    <w:rsid w:val="000C52D5"/>
    <w:rsid w:val="000C54B5"/>
    <w:rsid w:val="000C554F"/>
    <w:rsid w:val="000C55DE"/>
    <w:rsid w:val="000C57E4"/>
    <w:rsid w:val="000C59B7"/>
    <w:rsid w:val="000C5BF5"/>
    <w:rsid w:val="000C5E3E"/>
    <w:rsid w:val="000C5E52"/>
    <w:rsid w:val="000C6105"/>
    <w:rsid w:val="000C63E0"/>
    <w:rsid w:val="000C64F4"/>
    <w:rsid w:val="000C658B"/>
    <w:rsid w:val="000C6599"/>
    <w:rsid w:val="000C6643"/>
    <w:rsid w:val="000C67F0"/>
    <w:rsid w:val="000C684F"/>
    <w:rsid w:val="000C685E"/>
    <w:rsid w:val="000C6E20"/>
    <w:rsid w:val="000C6F59"/>
    <w:rsid w:val="000C7110"/>
    <w:rsid w:val="000C74FE"/>
    <w:rsid w:val="000C7559"/>
    <w:rsid w:val="000C7AB4"/>
    <w:rsid w:val="000C7AF6"/>
    <w:rsid w:val="000C7D30"/>
    <w:rsid w:val="000D01B5"/>
    <w:rsid w:val="000D0A3F"/>
    <w:rsid w:val="000D0DC5"/>
    <w:rsid w:val="000D133A"/>
    <w:rsid w:val="000D151E"/>
    <w:rsid w:val="000D1576"/>
    <w:rsid w:val="000D15FF"/>
    <w:rsid w:val="000D185A"/>
    <w:rsid w:val="000D2022"/>
    <w:rsid w:val="000D212F"/>
    <w:rsid w:val="000D21B5"/>
    <w:rsid w:val="000D23CC"/>
    <w:rsid w:val="000D243C"/>
    <w:rsid w:val="000D28DF"/>
    <w:rsid w:val="000D2F9B"/>
    <w:rsid w:val="000D359F"/>
    <w:rsid w:val="000D3858"/>
    <w:rsid w:val="000D3D7B"/>
    <w:rsid w:val="000D3F32"/>
    <w:rsid w:val="000D3F62"/>
    <w:rsid w:val="000D405E"/>
    <w:rsid w:val="000D4360"/>
    <w:rsid w:val="000D4807"/>
    <w:rsid w:val="000D488B"/>
    <w:rsid w:val="000D4D79"/>
    <w:rsid w:val="000D4F6B"/>
    <w:rsid w:val="000D52F5"/>
    <w:rsid w:val="000D5E1D"/>
    <w:rsid w:val="000D5E9A"/>
    <w:rsid w:val="000D5EC3"/>
    <w:rsid w:val="000D620B"/>
    <w:rsid w:val="000D653D"/>
    <w:rsid w:val="000D68DF"/>
    <w:rsid w:val="000D690D"/>
    <w:rsid w:val="000D6995"/>
    <w:rsid w:val="000D6A32"/>
    <w:rsid w:val="000D6A39"/>
    <w:rsid w:val="000D6BDD"/>
    <w:rsid w:val="000D6C05"/>
    <w:rsid w:val="000D6D44"/>
    <w:rsid w:val="000D79EA"/>
    <w:rsid w:val="000D7A6D"/>
    <w:rsid w:val="000D7C85"/>
    <w:rsid w:val="000D7DBA"/>
    <w:rsid w:val="000D7E8C"/>
    <w:rsid w:val="000D7FBA"/>
    <w:rsid w:val="000E022E"/>
    <w:rsid w:val="000E0314"/>
    <w:rsid w:val="000E05E8"/>
    <w:rsid w:val="000E075A"/>
    <w:rsid w:val="000E08D9"/>
    <w:rsid w:val="000E114F"/>
    <w:rsid w:val="000E138D"/>
    <w:rsid w:val="000E157E"/>
    <w:rsid w:val="000E187A"/>
    <w:rsid w:val="000E1B59"/>
    <w:rsid w:val="000E210D"/>
    <w:rsid w:val="000E229C"/>
    <w:rsid w:val="000E2685"/>
    <w:rsid w:val="000E2D61"/>
    <w:rsid w:val="000E2F34"/>
    <w:rsid w:val="000E32BA"/>
    <w:rsid w:val="000E32E5"/>
    <w:rsid w:val="000E33F2"/>
    <w:rsid w:val="000E34C4"/>
    <w:rsid w:val="000E35B2"/>
    <w:rsid w:val="000E376B"/>
    <w:rsid w:val="000E376C"/>
    <w:rsid w:val="000E3F23"/>
    <w:rsid w:val="000E406C"/>
    <w:rsid w:val="000E428C"/>
    <w:rsid w:val="000E4383"/>
    <w:rsid w:val="000E448A"/>
    <w:rsid w:val="000E450E"/>
    <w:rsid w:val="000E4542"/>
    <w:rsid w:val="000E4A3A"/>
    <w:rsid w:val="000E4C7C"/>
    <w:rsid w:val="000E4E17"/>
    <w:rsid w:val="000E4FD5"/>
    <w:rsid w:val="000E5123"/>
    <w:rsid w:val="000E5177"/>
    <w:rsid w:val="000E521C"/>
    <w:rsid w:val="000E5FAA"/>
    <w:rsid w:val="000E5FE4"/>
    <w:rsid w:val="000E61A7"/>
    <w:rsid w:val="000E6259"/>
    <w:rsid w:val="000E6948"/>
    <w:rsid w:val="000E6AAD"/>
    <w:rsid w:val="000E7150"/>
    <w:rsid w:val="000E73ED"/>
    <w:rsid w:val="000E79CE"/>
    <w:rsid w:val="000E7BF5"/>
    <w:rsid w:val="000E7F3A"/>
    <w:rsid w:val="000F02A4"/>
    <w:rsid w:val="000F05FB"/>
    <w:rsid w:val="000F05FE"/>
    <w:rsid w:val="000F062D"/>
    <w:rsid w:val="000F063B"/>
    <w:rsid w:val="000F0668"/>
    <w:rsid w:val="000F0AD1"/>
    <w:rsid w:val="000F1BB3"/>
    <w:rsid w:val="000F1D28"/>
    <w:rsid w:val="000F1D79"/>
    <w:rsid w:val="000F1DF9"/>
    <w:rsid w:val="000F245A"/>
    <w:rsid w:val="000F2586"/>
    <w:rsid w:val="000F2871"/>
    <w:rsid w:val="000F28A5"/>
    <w:rsid w:val="000F28E0"/>
    <w:rsid w:val="000F32C0"/>
    <w:rsid w:val="000F38B6"/>
    <w:rsid w:val="000F3A2D"/>
    <w:rsid w:val="000F3B33"/>
    <w:rsid w:val="000F420F"/>
    <w:rsid w:val="000F4395"/>
    <w:rsid w:val="000F4663"/>
    <w:rsid w:val="000F4677"/>
    <w:rsid w:val="000F47DF"/>
    <w:rsid w:val="000F4DC8"/>
    <w:rsid w:val="000F4E8B"/>
    <w:rsid w:val="000F4F36"/>
    <w:rsid w:val="000F58D6"/>
    <w:rsid w:val="000F5BE0"/>
    <w:rsid w:val="000F5E72"/>
    <w:rsid w:val="000F6014"/>
    <w:rsid w:val="000F612A"/>
    <w:rsid w:val="000F61EB"/>
    <w:rsid w:val="000F6695"/>
    <w:rsid w:val="000F67D8"/>
    <w:rsid w:val="000F67EA"/>
    <w:rsid w:val="000F6A31"/>
    <w:rsid w:val="000F6A4F"/>
    <w:rsid w:val="000F6D12"/>
    <w:rsid w:val="000F7024"/>
    <w:rsid w:val="000F7760"/>
    <w:rsid w:val="000F7AB2"/>
    <w:rsid w:val="000F7DE3"/>
    <w:rsid w:val="00100587"/>
    <w:rsid w:val="00100968"/>
    <w:rsid w:val="00100977"/>
    <w:rsid w:val="00100B8B"/>
    <w:rsid w:val="00101088"/>
    <w:rsid w:val="00101565"/>
    <w:rsid w:val="00101743"/>
    <w:rsid w:val="001019B8"/>
    <w:rsid w:val="00101B63"/>
    <w:rsid w:val="00101DD4"/>
    <w:rsid w:val="00102240"/>
    <w:rsid w:val="001024FD"/>
    <w:rsid w:val="001027E5"/>
    <w:rsid w:val="0010284E"/>
    <w:rsid w:val="0010286A"/>
    <w:rsid w:val="0010298C"/>
    <w:rsid w:val="00102BD3"/>
    <w:rsid w:val="00102E1D"/>
    <w:rsid w:val="00102F8B"/>
    <w:rsid w:val="00103122"/>
    <w:rsid w:val="00103168"/>
    <w:rsid w:val="0010336A"/>
    <w:rsid w:val="00103376"/>
    <w:rsid w:val="00103431"/>
    <w:rsid w:val="00103491"/>
    <w:rsid w:val="001034B4"/>
    <w:rsid w:val="001035A6"/>
    <w:rsid w:val="00103609"/>
    <w:rsid w:val="0010370B"/>
    <w:rsid w:val="00103F55"/>
    <w:rsid w:val="00104195"/>
    <w:rsid w:val="001041B7"/>
    <w:rsid w:val="00104279"/>
    <w:rsid w:val="001043A5"/>
    <w:rsid w:val="00104E90"/>
    <w:rsid w:val="001050F1"/>
    <w:rsid w:val="00105308"/>
    <w:rsid w:val="001056A8"/>
    <w:rsid w:val="001056D1"/>
    <w:rsid w:val="00105765"/>
    <w:rsid w:val="0010579B"/>
    <w:rsid w:val="001059B3"/>
    <w:rsid w:val="00105AEA"/>
    <w:rsid w:val="00105B2D"/>
    <w:rsid w:val="00105C00"/>
    <w:rsid w:val="00105F6A"/>
    <w:rsid w:val="001064DE"/>
    <w:rsid w:val="00106DAF"/>
    <w:rsid w:val="00107485"/>
    <w:rsid w:val="0010757F"/>
    <w:rsid w:val="001077BC"/>
    <w:rsid w:val="001077F1"/>
    <w:rsid w:val="00107921"/>
    <w:rsid w:val="001079E9"/>
    <w:rsid w:val="001079FD"/>
    <w:rsid w:val="00107AF7"/>
    <w:rsid w:val="00107EE6"/>
    <w:rsid w:val="00107F3D"/>
    <w:rsid w:val="00110277"/>
    <w:rsid w:val="00110C7E"/>
    <w:rsid w:val="00111109"/>
    <w:rsid w:val="00111129"/>
    <w:rsid w:val="001119F2"/>
    <w:rsid w:val="00111B6B"/>
    <w:rsid w:val="00111BD4"/>
    <w:rsid w:val="00111FA3"/>
    <w:rsid w:val="00112255"/>
    <w:rsid w:val="001123A5"/>
    <w:rsid w:val="001127A9"/>
    <w:rsid w:val="00112AF0"/>
    <w:rsid w:val="00112C30"/>
    <w:rsid w:val="00112D20"/>
    <w:rsid w:val="00112D48"/>
    <w:rsid w:val="00112D8D"/>
    <w:rsid w:val="00113024"/>
    <w:rsid w:val="00113331"/>
    <w:rsid w:val="001134B2"/>
    <w:rsid w:val="00113DEB"/>
    <w:rsid w:val="00113F4F"/>
    <w:rsid w:val="00114006"/>
    <w:rsid w:val="00114320"/>
    <w:rsid w:val="0011451E"/>
    <w:rsid w:val="00114ABE"/>
    <w:rsid w:val="00114AC4"/>
    <w:rsid w:val="00114B8D"/>
    <w:rsid w:val="0011519E"/>
    <w:rsid w:val="001152D8"/>
    <w:rsid w:val="0011559A"/>
    <w:rsid w:val="00115859"/>
    <w:rsid w:val="00115A8B"/>
    <w:rsid w:val="00115E0A"/>
    <w:rsid w:val="00115E3E"/>
    <w:rsid w:val="00116023"/>
    <w:rsid w:val="00116323"/>
    <w:rsid w:val="0011640D"/>
    <w:rsid w:val="0011648A"/>
    <w:rsid w:val="001166ED"/>
    <w:rsid w:val="00116857"/>
    <w:rsid w:val="001169F3"/>
    <w:rsid w:val="0011703B"/>
    <w:rsid w:val="0011707B"/>
    <w:rsid w:val="001173DB"/>
    <w:rsid w:val="001175A7"/>
    <w:rsid w:val="00117878"/>
    <w:rsid w:val="00117A96"/>
    <w:rsid w:val="00117AC5"/>
    <w:rsid w:val="00117F5C"/>
    <w:rsid w:val="001200FE"/>
    <w:rsid w:val="00120518"/>
    <w:rsid w:val="0012058F"/>
    <w:rsid w:val="00120EAA"/>
    <w:rsid w:val="001212D2"/>
    <w:rsid w:val="00121877"/>
    <w:rsid w:val="00121972"/>
    <w:rsid w:val="00122099"/>
    <w:rsid w:val="0012216B"/>
    <w:rsid w:val="001222DE"/>
    <w:rsid w:val="0012231D"/>
    <w:rsid w:val="001223E5"/>
    <w:rsid w:val="001224F4"/>
    <w:rsid w:val="0012282B"/>
    <w:rsid w:val="00122CE6"/>
    <w:rsid w:val="00123153"/>
    <w:rsid w:val="00123293"/>
    <w:rsid w:val="001232C5"/>
    <w:rsid w:val="001238D3"/>
    <w:rsid w:val="00123B2A"/>
    <w:rsid w:val="00123DA2"/>
    <w:rsid w:val="00123EF2"/>
    <w:rsid w:val="00123FB5"/>
    <w:rsid w:val="001241B5"/>
    <w:rsid w:val="00124EC7"/>
    <w:rsid w:val="00125768"/>
    <w:rsid w:val="0012585B"/>
    <w:rsid w:val="00125D1F"/>
    <w:rsid w:val="00125D8B"/>
    <w:rsid w:val="00125DAB"/>
    <w:rsid w:val="00126A73"/>
    <w:rsid w:val="00126F38"/>
    <w:rsid w:val="001272D9"/>
    <w:rsid w:val="00127459"/>
    <w:rsid w:val="0012781E"/>
    <w:rsid w:val="00127F11"/>
    <w:rsid w:val="00130265"/>
    <w:rsid w:val="001302DD"/>
    <w:rsid w:val="00130882"/>
    <w:rsid w:val="00130BDD"/>
    <w:rsid w:val="001310C4"/>
    <w:rsid w:val="00131136"/>
    <w:rsid w:val="001311B2"/>
    <w:rsid w:val="00131D7B"/>
    <w:rsid w:val="0013256F"/>
    <w:rsid w:val="0013286B"/>
    <w:rsid w:val="00132B50"/>
    <w:rsid w:val="00133038"/>
    <w:rsid w:val="0013316D"/>
    <w:rsid w:val="00133322"/>
    <w:rsid w:val="00133482"/>
    <w:rsid w:val="001336CF"/>
    <w:rsid w:val="0013390D"/>
    <w:rsid w:val="00133DAF"/>
    <w:rsid w:val="00133EA6"/>
    <w:rsid w:val="001343CC"/>
    <w:rsid w:val="00134453"/>
    <w:rsid w:val="001345B2"/>
    <w:rsid w:val="00134A51"/>
    <w:rsid w:val="00134BC8"/>
    <w:rsid w:val="00134C36"/>
    <w:rsid w:val="00134CA9"/>
    <w:rsid w:val="00134F67"/>
    <w:rsid w:val="00135065"/>
    <w:rsid w:val="001351A1"/>
    <w:rsid w:val="0013535C"/>
    <w:rsid w:val="0013571B"/>
    <w:rsid w:val="0013583E"/>
    <w:rsid w:val="00135914"/>
    <w:rsid w:val="00135C97"/>
    <w:rsid w:val="00135EC9"/>
    <w:rsid w:val="00135EEA"/>
    <w:rsid w:val="00136600"/>
    <w:rsid w:val="001368F6"/>
    <w:rsid w:val="00136ABA"/>
    <w:rsid w:val="00136F6C"/>
    <w:rsid w:val="00137051"/>
    <w:rsid w:val="001371DC"/>
    <w:rsid w:val="001373A9"/>
    <w:rsid w:val="00137D76"/>
    <w:rsid w:val="00137EA1"/>
    <w:rsid w:val="00140727"/>
    <w:rsid w:val="00140773"/>
    <w:rsid w:val="00140889"/>
    <w:rsid w:val="00140972"/>
    <w:rsid w:val="00140981"/>
    <w:rsid w:val="00140B33"/>
    <w:rsid w:val="00140C22"/>
    <w:rsid w:val="00140DEA"/>
    <w:rsid w:val="00140E35"/>
    <w:rsid w:val="00140FAD"/>
    <w:rsid w:val="00141568"/>
    <w:rsid w:val="001415C3"/>
    <w:rsid w:val="00141621"/>
    <w:rsid w:val="00141B06"/>
    <w:rsid w:val="00141E73"/>
    <w:rsid w:val="00141EE0"/>
    <w:rsid w:val="001421A5"/>
    <w:rsid w:val="0014265A"/>
    <w:rsid w:val="001429CD"/>
    <w:rsid w:val="00142D50"/>
    <w:rsid w:val="001431A5"/>
    <w:rsid w:val="00143E71"/>
    <w:rsid w:val="00143F80"/>
    <w:rsid w:val="00144071"/>
    <w:rsid w:val="0014445C"/>
    <w:rsid w:val="001448EE"/>
    <w:rsid w:val="00144A2C"/>
    <w:rsid w:val="00144AA7"/>
    <w:rsid w:val="00144FB5"/>
    <w:rsid w:val="00145045"/>
    <w:rsid w:val="00145049"/>
    <w:rsid w:val="001451B1"/>
    <w:rsid w:val="00145209"/>
    <w:rsid w:val="00145273"/>
    <w:rsid w:val="00145551"/>
    <w:rsid w:val="00145563"/>
    <w:rsid w:val="001457CB"/>
    <w:rsid w:val="001459D5"/>
    <w:rsid w:val="00145BDA"/>
    <w:rsid w:val="00145DFC"/>
    <w:rsid w:val="00145FF8"/>
    <w:rsid w:val="00146059"/>
    <w:rsid w:val="0014606C"/>
    <w:rsid w:val="00146147"/>
    <w:rsid w:val="0014619B"/>
    <w:rsid w:val="00146268"/>
    <w:rsid w:val="001463BF"/>
    <w:rsid w:val="0014657F"/>
    <w:rsid w:val="00146753"/>
    <w:rsid w:val="001468B6"/>
    <w:rsid w:val="0014716A"/>
    <w:rsid w:val="00147949"/>
    <w:rsid w:val="00147DEC"/>
    <w:rsid w:val="00147E46"/>
    <w:rsid w:val="001500C4"/>
    <w:rsid w:val="00150123"/>
    <w:rsid w:val="00150281"/>
    <w:rsid w:val="001503C1"/>
    <w:rsid w:val="00150444"/>
    <w:rsid w:val="00150605"/>
    <w:rsid w:val="00150AEE"/>
    <w:rsid w:val="00151642"/>
    <w:rsid w:val="00151C78"/>
    <w:rsid w:val="001522AB"/>
    <w:rsid w:val="00152C26"/>
    <w:rsid w:val="00152CA2"/>
    <w:rsid w:val="00152DB2"/>
    <w:rsid w:val="00152E6C"/>
    <w:rsid w:val="00153744"/>
    <w:rsid w:val="001537AD"/>
    <w:rsid w:val="00153EDD"/>
    <w:rsid w:val="00154533"/>
    <w:rsid w:val="00154D1E"/>
    <w:rsid w:val="00154EAD"/>
    <w:rsid w:val="00154F01"/>
    <w:rsid w:val="00154F62"/>
    <w:rsid w:val="00154F7C"/>
    <w:rsid w:val="00154F95"/>
    <w:rsid w:val="0015502E"/>
    <w:rsid w:val="0015537A"/>
    <w:rsid w:val="001555A2"/>
    <w:rsid w:val="001557DD"/>
    <w:rsid w:val="00155932"/>
    <w:rsid w:val="00155D45"/>
    <w:rsid w:val="00156632"/>
    <w:rsid w:val="00156882"/>
    <w:rsid w:val="00156D48"/>
    <w:rsid w:val="00157564"/>
    <w:rsid w:val="0015759F"/>
    <w:rsid w:val="0015782A"/>
    <w:rsid w:val="0015788B"/>
    <w:rsid w:val="00157A2B"/>
    <w:rsid w:val="00157B7A"/>
    <w:rsid w:val="00157C9E"/>
    <w:rsid w:val="00157DE2"/>
    <w:rsid w:val="00160220"/>
    <w:rsid w:val="0016037B"/>
    <w:rsid w:val="00160406"/>
    <w:rsid w:val="001604E1"/>
    <w:rsid w:val="00160604"/>
    <w:rsid w:val="00160628"/>
    <w:rsid w:val="00160809"/>
    <w:rsid w:val="001608DE"/>
    <w:rsid w:val="0016091E"/>
    <w:rsid w:val="00160ECB"/>
    <w:rsid w:val="0016132A"/>
    <w:rsid w:val="00161344"/>
    <w:rsid w:val="001619F0"/>
    <w:rsid w:val="001619F8"/>
    <w:rsid w:val="00162072"/>
    <w:rsid w:val="00162195"/>
    <w:rsid w:val="001624C0"/>
    <w:rsid w:val="00162523"/>
    <w:rsid w:val="00162556"/>
    <w:rsid w:val="00162613"/>
    <w:rsid w:val="0016280E"/>
    <w:rsid w:val="00162A69"/>
    <w:rsid w:val="0016307A"/>
    <w:rsid w:val="00163184"/>
    <w:rsid w:val="0016322A"/>
    <w:rsid w:val="00163270"/>
    <w:rsid w:val="0016373F"/>
    <w:rsid w:val="00163D44"/>
    <w:rsid w:val="00163D62"/>
    <w:rsid w:val="00163FCF"/>
    <w:rsid w:val="00164531"/>
    <w:rsid w:val="00164549"/>
    <w:rsid w:val="00164623"/>
    <w:rsid w:val="0016466F"/>
    <w:rsid w:val="00164689"/>
    <w:rsid w:val="00164804"/>
    <w:rsid w:val="00164906"/>
    <w:rsid w:val="00164F44"/>
    <w:rsid w:val="0016516A"/>
    <w:rsid w:val="00165A21"/>
    <w:rsid w:val="00165B89"/>
    <w:rsid w:val="00166154"/>
    <w:rsid w:val="001664B5"/>
    <w:rsid w:val="00166BCE"/>
    <w:rsid w:val="00166DA9"/>
    <w:rsid w:val="00166E1A"/>
    <w:rsid w:val="001671DA"/>
    <w:rsid w:val="00167213"/>
    <w:rsid w:val="0016733C"/>
    <w:rsid w:val="00167AF4"/>
    <w:rsid w:val="00167CD8"/>
    <w:rsid w:val="00167DDA"/>
    <w:rsid w:val="00167E37"/>
    <w:rsid w:val="001701A2"/>
    <w:rsid w:val="001704A7"/>
    <w:rsid w:val="001705CE"/>
    <w:rsid w:val="00170AC1"/>
    <w:rsid w:val="0017103F"/>
    <w:rsid w:val="00171167"/>
    <w:rsid w:val="0017130A"/>
    <w:rsid w:val="00171E6A"/>
    <w:rsid w:val="00172330"/>
    <w:rsid w:val="00172464"/>
    <w:rsid w:val="00172489"/>
    <w:rsid w:val="00172493"/>
    <w:rsid w:val="0017255F"/>
    <w:rsid w:val="0017290E"/>
    <w:rsid w:val="00173425"/>
    <w:rsid w:val="001734A6"/>
    <w:rsid w:val="00173519"/>
    <w:rsid w:val="00173795"/>
    <w:rsid w:val="00173818"/>
    <w:rsid w:val="00173B5A"/>
    <w:rsid w:val="00173B61"/>
    <w:rsid w:val="00173BDD"/>
    <w:rsid w:val="0017440A"/>
    <w:rsid w:val="001747B4"/>
    <w:rsid w:val="001752E9"/>
    <w:rsid w:val="001754CB"/>
    <w:rsid w:val="00175A76"/>
    <w:rsid w:val="00175DC2"/>
    <w:rsid w:val="00176259"/>
    <w:rsid w:val="00176355"/>
    <w:rsid w:val="0017685F"/>
    <w:rsid w:val="00176B1D"/>
    <w:rsid w:val="00176BDE"/>
    <w:rsid w:val="00176DFD"/>
    <w:rsid w:val="00176FE4"/>
    <w:rsid w:val="0017714B"/>
    <w:rsid w:val="001773E2"/>
    <w:rsid w:val="00177747"/>
    <w:rsid w:val="001778B1"/>
    <w:rsid w:val="00177B8D"/>
    <w:rsid w:val="00177CE1"/>
    <w:rsid w:val="00177DAC"/>
    <w:rsid w:val="00177DF0"/>
    <w:rsid w:val="0018019C"/>
    <w:rsid w:val="001802FB"/>
    <w:rsid w:val="001804DF"/>
    <w:rsid w:val="00180647"/>
    <w:rsid w:val="00180A58"/>
    <w:rsid w:val="00180FDE"/>
    <w:rsid w:val="001810C8"/>
    <w:rsid w:val="0018117C"/>
    <w:rsid w:val="00181285"/>
    <w:rsid w:val="00181345"/>
    <w:rsid w:val="001818B9"/>
    <w:rsid w:val="00181BDC"/>
    <w:rsid w:val="00181DB0"/>
    <w:rsid w:val="00181E2D"/>
    <w:rsid w:val="0018208C"/>
    <w:rsid w:val="001822D3"/>
    <w:rsid w:val="0018234E"/>
    <w:rsid w:val="001825DB"/>
    <w:rsid w:val="00182692"/>
    <w:rsid w:val="001829E3"/>
    <w:rsid w:val="00182C44"/>
    <w:rsid w:val="00182E6C"/>
    <w:rsid w:val="00182FF1"/>
    <w:rsid w:val="001831F6"/>
    <w:rsid w:val="0018369B"/>
    <w:rsid w:val="001839D6"/>
    <w:rsid w:val="00183B6A"/>
    <w:rsid w:val="00183B74"/>
    <w:rsid w:val="00183E8F"/>
    <w:rsid w:val="00184014"/>
    <w:rsid w:val="001848D9"/>
    <w:rsid w:val="001848DE"/>
    <w:rsid w:val="00184945"/>
    <w:rsid w:val="00184A32"/>
    <w:rsid w:val="00184D03"/>
    <w:rsid w:val="0018505B"/>
    <w:rsid w:val="001852E0"/>
    <w:rsid w:val="00185385"/>
    <w:rsid w:val="00185391"/>
    <w:rsid w:val="001853E9"/>
    <w:rsid w:val="00185554"/>
    <w:rsid w:val="00185823"/>
    <w:rsid w:val="00185901"/>
    <w:rsid w:val="0018598C"/>
    <w:rsid w:val="00185AD0"/>
    <w:rsid w:val="00185B10"/>
    <w:rsid w:val="001867C8"/>
    <w:rsid w:val="00186996"/>
    <w:rsid w:val="00186AB1"/>
    <w:rsid w:val="00186CC3"/>
    <w:rsid w:val="0018701F"/>
    <w:rsid w:val="00187736"/>
    <w:rsid w:val="0018799E"/>
    <w:rsid w:val="00187A75"/>
    <w:rsid w:val="00187DCF"/>
    <w:rsid w:val="0019029F"/>
    <w:rsid w:val="0019059A"/>
    <w:rsid w:val="00190EAB"/>
    <w:rsid w:val="001910F4"/>
    <w:rsid w:val="00191159"/>
    <w:rsid w:val="00191C27"/>
    <w:rsid w:val="00191ECE"/>
    <w:rsid w:val="001924C0"/>
    <w:rsid w:val="001928FB"/>
    <w:rsid w:val="001929A8"/>
    <w:rsid w:val="00193004"/>
    <w:rsid w:val="00193506"/>
    <w:rsid w:val="00193671"/>
    <w:rsid w:val="00193887"/>
    <w:rsid w:val="00193E37"/>
    <w:rsid w:val="0019400E"/>
    <w:rsid w:val="0019412B"/>
    <w:rsid w:val="00194634"/>
    <w:rsid w:val="00194ACD"/>
    <w:rsid w:val="00194F6E"/>
    <w:rsid w:val="00195169"/>
    <w:rsid w:val="0019545B"/>
    <w:rsid w:val="001954D3"/>
    <w:rsid w:val="00195CF1"/>
    <w:rsid w:val="00195E8A"/>
    <w:rsid w:val="001961B6"/>
    <w:rsid w:val="001964A2"/>
    <w:rsid w:val="00196718"/>
    <w:rsid w:val="00196938"/>
    <w:rsid w:val="00196AA3"/>
    <w:rsid w:val="00196AAF"/>
    <w:rsid w:val="0019731E"/>
    <w:rsid w:val="001973FA"/>
    <w:rsid w:val="0019759F"/>
    <w:rsid w:val="001975CF"/>
    <w:rsid w:val="001979BD"/>
    <w:rsid w:val="00197A35"/>
    <w:rsid w:val="001A00E1"/>
    <w:rsid w:val="001A05CB"/>
    <w:rsid w:val="001A09FE"/>
    <w:rsid w:val="001A0B29"/>
    <w:rsid w:val="001A12B0"/>
    <w:rsid w:val="001A13C5"/>
    <w:rsid w:val="001A1D39"/>
    <w:rsid w:val="001A1D51"/>
    <w:rsid w:val="001A1E59"/>
    <w:rsid w:val="001A2242"/>
    <w:rsid w:val="001A227A"/>
    <w:rsid w:val="001A2784"/>
    <w:rsid w:val="001A2EC4"/>
    <w:rsid w:val="001A301F"/>
    <w:rsid w:val="001A3348"/>
    <w:rsid w:val="001A3428"/>
    <w:rsid w:val="001A3664"/>
    <w:rsid w:val="001A3A72"/>
    <w:rsid w:val="001A4D3D"/>
    <w:rsid w:val="001A4E40"/>
    <w:rsid w:val="001A5709"/>
    <w:rsid w:val="001A5737"/>
    <w:rsid w:val="001A574C"/>
    <w:rsid w:val="001A57D7"/>
    <w:rsid w:val="001A6392"/>
    <w:rsid w:val="001A63AB"/>
    <w:rsid w:val="001A63E0"/>
    <w:rsid w:val="001A6628"/>
    <w:rsid w:val="001A67C9"/>
    <w:rsid w:val="001A69DE"/>
    <w:rsid w:val="001A6A60"/>
    <w:rsid w:val="001A713C"/>
    <w:rsid w:val="001A73D0"/>
    <w:rsid w:val="001A7555"/>
    <w:rsid w:val="001A7797"/>
    <w:rsid w:val="001B02C5"/>
    <w:rsid w:val="001B0644"/>
    <w:rsid w:val="001B0909"/>
    <w:rsid w:val="001B0E16"/>
    <w:rsid w:val="001B10D0"/>
    <w:rsid w:val="001B1179"/>
    <w:rsid w:val="001B15F3"/>
    <w:rsid w:val="001B1B29"/>
    <w:rsid w:val="001B1C7C"/>
    <w:rsid w:val="001B1F3A"/>
    <w:rsid w:val="001B247A"/>
    <w:rsid w:val="001B24CA"/>
    <w:rsid w:val="001B2D05"/>
    <w:rsid w:val="001B3284"/>
    <w:rsid w:val="001B3354"/>
    <w:rsid w:val="001B3614"/>
    <w:rsid w:val="001B398F"/>
    <w:rsid w:val="001B3AE9"/>
    <w:rsid w:val="001B4072"/>
    <w:rsid w:val="001B40AF"/>
    <w:rsid w:val="001B40CB"/>
    <w:rsid w:val="001B46C6"/>
    <w:rsid w:val="001B4875"/>
    <w:rsid w:val="001B48B8"/>
    <w:rsid w:val="001B492B"/>
    <w:rsid w:val="001B4B48"/>
    <w:rsid w:val="001B4D1F"/>
    <w:rsid w:val="001B540E"/>
    <w:rsid w:val="001B56B8"/>
    <w:rsid w:val="001B56E7"/>
    <w:rsid w:val="001B5B80"/>
    <w:rsid w:val="001B5BB9"/>
    <w:rsid w:val="001B5D38"/>
    <w:rsid w:val="001B606D"/>
    <w:rsid w:val="001B62CB"/>
    <w:rsid w:val="001B6A4B"/>
    <w:rsid w:val="001B6C58"/>
    <w:rsid w:val="001B6D63"/>
    <w:rsid w:val="001B6F3E"/>
    <w:rsid w:val="001B6F72"/>
    <w:rsid w:val="001B7681"/>
    <w:rsid w:val="001B7820"/>
    <w:rsid w:val="001B78F2"/>
    <w:rsid w:val="001B7B1F"/>
    <w:rsid w:val="001B7BF7"/>
    <w:rsid w:val="001B7CAE"/>
    <w:rsid w:val="001B7CD4"/>
    <w:rsid w:val="001C02A0"/>
    <w:rsid w:val="001C0772"/>
    <w:rsid w:val="001C0BFA"/>
    <w:rsid w:val="001C0D4F"/>
    <w:rsid w:val="001C0F58"/>
    <w:rsid w:val="001C16F7"/>
    <w:rsid w:val="001C18E1"/>
    <w:rsid w:val="001C1985"/>
    <w:rsid w:val="001C1A3E"/>
    <w:rsid w:val="001C1AB3"/>
    <w:rsid w:val="001C1BA3"/>
    <w:rsid w:val="001C1DEC"/>
    <w:rsid w:val="001C202F"/>
    <w:rsid w:val="001C226D"/>
    <w:rsid w:val="001C2749"/>
    <w:rsid w:val="001C29BE"/>
    <w:rsid w:val="001C2AD1"/>
    <w:rsid w:val="001C2B98"/>
    <w:rsid w:val="001C2B9C"/>
    <w:rsid w:val="001C3170"/>
    <w:rsid w:val="001C3311"/>
    <w:rsid w:val="001C362A"/>
    <w:rsid w:val="001C3926"/>
    <w:rsid w:val="001C3D1D"/>
    <w:rsid w:val="001C3D56"/>
    <w:rsid w:val="001C3FF1"/>
    <w:rsid w:val="001C40BF"/>
    <w:rsid w:val="001C426F"/>
    <w:rsid w:val="001C44B0"/>
    <w:rsid w:val="001C44EF"/>
    <w:rsid w:val="001C4515"/>
    <w:rsid w:val="001C475B"/>
    <w:rsid w:val="001C48F3"/>
    <w:rsid w:val="001C4993"/>
    <w:rsid w:val="001C502F"/>
    <w:rsid w:val="001C530F"/>
    <w:rsid w:val="001C5610"/>
    <w:rsid w:val="001C56A0"/>
    <w:rsid w:val="001C5736"/>
    <w:rsid w:val="001C58EB"/>
    <w:rsid w:val="001C5E69"/>
    <w:rsid w:val="001C6002"/>
    <w:rsid w:val="001C6374"/>
    <w:rsid w:val="001C6632"/>
    <w:rsid w:val="001C6691"/>
    <w:rsid w:val="001C6750"/>
    <w:rsid w:val="001C6A93"/>
    <w:rsid w:val="001C738B"/>
    <w:rsid w:val="001C740A"/>
    <w:rsid w:val="001C7536"/>
    <w:rsid w:val="001C7545"/>
    <w:rsid w:val="001C79F5"/>
    <w:rsid w:val="001D018A"/>
    <w:rsid w:val="001D0209"/>
    <w:rsid w:val="001D02FF"/>
    <w:rsid w:val="001D0351"/>
    <w:rsid w:val="001D06FA"/>
    <w:rsid w:val="001D091A"/>
    <w:rsid w:val="001D0CE3"/>
    <w:rsid w:val="001D1166"/>
    <w:rsid w:val="001D1181"/>
    <w:rsid w:val="001D12E9"/>
    <w:rsid w:val="001D20F0"/>
    <w:rsid w:val="001D257E"/>
    <w:rsid w:val="001D26B3"/>
    <w:rsid w:val="001D276A"/>
    <w:rsid w:val="001D2FAA"/>
    <w:rsid w:val="001D378D"/>
    <w:rsid w:val="001D3845"/>
    <w:rsid w:val="001D3C83"/>
    <w:rsid w:val="001D3DA3"/>
    <w:rsid w:val="001D3E51"/>
    <w:rsid w:val="001D4074"/>
    <w:rsid w:val="001D42BF"/>
    <w:rsid w:val="001D4435"/>
    <w:rsid w:val="001D468F"/>
    <w:rsid w:val="001D496F"/>
    <w:rsid w:val="001D4E3E"/>
    <w:rsid w:val="001D4E40"/>
    <w:rsid w:val="001D50AB"/>
    <w:rsid w:val="001D50F8"/>
    <w:rsid w:val="001D526B"/>
    <w:rsid w:val="001D5350"/>
    <w:rsid w:val="001D595A"/>
    <w:rsid w:val="001D5B1D"/>
    <w:rsid w:val="001D5C21"/>
    <w:rsid w:val="001D6105"/>
    <w:rsid w:val="001D6431"/>
    <w:rsid w:val="001D647F"/>
    <w:rsid w:val="001D654D"/>
    <w:rsid w:val="001D67A4"/>
    <w:rsid w:val="001D6857"/>
    <w:rsid w:val="001D688A"/>
    <w:rsid w:val="001D6A90"/>
    <w:rsid w:val="001D6E6F"/>
    <w:rsid w:val="001D6F35"/>
    <w:rsid w:val="001D719E"/>
    <w:rsid w:val="001D74F8"/>
    <w:rsid w:val="001D7BB6"/>
    <w:rsid w:val="001D7F68"/>
    <w:rsid w:val="001E0204"/>
    <w:rsid w:val="001E0572"/>
    <w:rsid w:val="001E0586"/>
    <w:rsid w:val="001E05E9"/>
    <w:rsid w:val="001E0A67"/>
    <w:rsid w:val="001E0A6B"/>
    <w:rsid w:val="001E1028"/>
    <w:rsid w:val="001E14E2"/>
    <w:rsid w:val="001E1737"/>
    <w:rsid w:val="001E1931"/>
    <w:rsid w:val="001E1B7C"/>
    <w:rsid w:val="001E1C55"/>
    <w:rsid w:val="001E1EF0"/>
    <w:rsid w:val="001E1F52"/>
    <w:rsid w:val="001E29C6"/>
    <w:rsid w:val="001E2B90"/>
    <w:rsid w:val="001E2C38"/>
    <w:rsid w:val="001E2E43"/>
    <w:rsid w:val="001E2FAE"/>
    <w:rsid w:val="001E310A"/>
    <w:rsid w:val="001E3446"/>
    <w:rsid w:val="001E34E8"/>
    <w:rsid w:val="001E3553"/>
    <w:rsid w:val="001E3725"/>
    <w:rsid w:val="001E37D6"/>
    <w:rsid w:val="001E3DFF"/>
    <w:rsid w:val="001E3FB1"/>
    <w:rsid w:val="001E400A"/>
    <w:rsid w:val="001E42D2"/>
    <w:rsid w:val="001E459C"/>
    <w:rsid w:val="001E4DE9"/>
    <w:rsid w:val="001E5255"/>
    <w:rsid w:val="001E556C"/>
    <w:rsid w:val="001E565B"/>
    <w:rsid w:val="001E588E"/>
    <w:rsid w:val="001E5CF1"/>
    <w:rsid w:val="001E5E0E"/>
    <w:rsid w:val="001E5E47"/>
    <w:rsid w:val="001E6302"/>
    <w:rsid w:val="001E6360"/>
    <w:rsid w:val="001E63BE"/>
    <w:rsid w:val="001E6740"/>
    <w:rsid w:val="001E674B"/>
    <w:rsid w:val="001E7301"/>
    <w:rsid w:val="001E7416"/>
    <w:rsid w:val="001E76EF"/>
    <w:rsid w:val="001E7925"/>
    <w:rsid w:val="001E7C66"/>
    <w:rsid w:val="001E7DCB"/>
    <w:rsid w:val="001F0387"/>
    <w:rsid w:val="001F03A4"/>
    <w:rsid w:val="001F0425"/>
    <w:rsid w:val="001F0552"/>
    <w:rsid w:val="001F0D42"/>
    <w:rsid w:val="001F0DF9"/>
    <w:rsid w:val="001F119F"/>
    <w:rsid w:val="001F131B"/>
    <w:rsid w:val="001F14F3"/>
    <w:rsid w:val="001F1681"/>
    <w:rsid w:val="001F169A"/>
    <w:rsid w:val="001F16B0"/>
    <w:rsid w:val="001F1921"/>
    <w:rsid w:val="001F1AAB"/>
    <w:rsid w:val="001F2277"/>
    <w:rsid w:val="001F22CA"/>
    <w:rsid w:val="001F2361"/>
    <w:rsid w:val="001F24F5"/>
    <w:rsid w:val="001F2A5A"/>
    <w:rsid w:val="001F33B2"/>
    <w:rsid w:val="001F3411"/>
    <w:rsid w:val="001F3807"/>
    <w:rsid w:val="001F3AF4"/>
    <w:rsid w:val="001F3F6D"/>
    <w:rsid w:val="001F3FE2"/>
    <w:rsid w:val="001F4287"/>
    <w:rsid w:val="001F43E3"/>
    <w:rsid w:val="001F48A7"/>
    <w:rsid w:val="001F49E2"/>
    <w:rsid w:val="001F4A6F"/>
    <w:rsid w:val="001F4AB3"/>
    <w:rsid w:val="001F4DBA"/>
    <w:rsid w:val="001F4F22"/>
    <w:rsid w:val="001F50C0"/>
    <w:rsid w:val="001F5258"/>
    <w:rsid w:val="001F527C"/>
    <w:rsid w:val="001F54F7"/>
    <w:rsid w:val="001F56F3"/>
    <w:rsid w:val="001F5ACA"/>
    <w:rsid w:val="001F5C57"/>
    <w:rsid w:val="001F5E35"/>
    <w:rsid w:val="001F5E5A"/>
    <w:rsid w:val="001F63F7"/>
    <w:rsid w:val="001F6424"/>
    <w:rsid w:val="001F64CF"/>
    <w:rsid w:val="001F6777"/>
    <w:rsid w:val="001F6AD3"/>
    <w:rsid w:val="001F760B"/>
    <w:rsid w:val="001F76A8"/>
    <w:rsid w:val="001F7CDF"/>
    <w:rsid w:val="001F7D8C"/>
    <w:rsid w:val="001F7DF7"/>
    <w:rsid w:val="00200059"/>
    <w:rsid w:val="00200466"/>
    <w:rsid w:val="002008DA"/>
    <w:rsid w:val="002008E4"/>
    <w:rsid w:val="00200971"/>
    <w:rsid w:val="00200A39"/>
    <w:rsid w:val="00201003"/>
    <w:rsid w:val="0020101F"/>
    <w:rsid w:val="00201146"/>
    <w:rsid w:val="002012AB"/>
    <w:rsid w:val="00201BB1"/>
    <w:rsid w:val="002020AE"/>
    <w:rsid w:val="002022B6"/>
    <w:rsid w:val="0020234C"/>
    <w:rsid w:val="002026CE"/>
    <w:rsid w:val="00202AE9"/>
    <w:rsid w:val="00202E43"/>
    <w:rsid w:val="00202E45"/>
    <w:rsid w:val="00203211"/>
    <w:rsid w:val="002034DF"/>
    <w:rsid w:val="00203636"/>
    <w:rsid w:val="00203694"/>
    <w:rsid w:val="00203967"/>
    <w:rsid w:val="00203AEF"/>
    <w:rsid w:val="0020415E"/>
    <w:rsid w:val="002045DA"/>
    <w:rsid w:val="00204FF4"/>
    <w:rsid w:val="00205466"/>
    <w:rsid w:val="002056F0"/>
    <w:rsid w:val="00205978"/>
    <w:rsid w:val="0020598B"/>
    <w:rsid w:val="002062AD"/>
    <w:rsid w:val="0020682B"/>
    <w:rsid w:val="00206887"/>
    <w:rsid w:val="00206A9C"/>
    <w:rsid w:val="00206EAF"/>
    <w:rsid w:val="00206EE4"/>
    <w:rsid w:val="00207661"/>
    <w:rsid w:val="002076A5"/>
    <w:rsid w:val="00207707"/>
    <w:rsid w:val="00207783"/>
    <w:rsid w:val="002079C3"/>
    <w:rsid w:val="002101CA"/>
    <w:rsid w:val="0021056E"/>
    <w:rsid w:val="00210679"/>
    <w:rsid w:val="002106E4"/>
    <w:rsid w:val="00210714"/>
    <w:rsid w:val="0021075D"/>
    <w:rsid w:val="0021081F"/>
    <w:rsid w:val="00210C13"/>
    <w:rsid w:val="00210C21"/>
    <w:rsid w:val="00210C25"/>
    <w:rsid w:val="00210D6C"/>
    <w:rsid w:val="00210F40"/>
    <w:rsid w:val="0021102F"/>
    <w:rsid w:val="00211097"/>
    <w:rsid w:val="00211603"/>
    <w:rsid w:val="0021165A"/>
    <w:rsid w:val="0021181E"/>
    <w:rsid w:val="00211872"/>
    <w:rsid w:val="002118E9"/>
    <w:rsid w:val="002119AD"/>
    <w:rsid w:val="00211BC9"/>
    <w:rsid w:val="00211EB0"/>
    <w:rsid w:val="002122E7"/>
    <w:rsid w:val="0021240F"/>
    <w:rsid w:val="002125A4"/>
    <w:rsid w:val="00212824"/>
    <w:rsid w:val="002129BD"/>
    <w:rsid w:val="00212A3A"/>
    <w:rsid w:val="002134BC"/>
    <w:rsid w:val="00213769"/>
    <w:rsid w:val="00213964"/>
    <w:rsid w:val="00213E26"/>
    <w:rsid w:val="00213EC1"/>
    <w:rsid w:val="0021406E"/>
    <w:rsid w:val="00214426"/>
    <w:rsid w:val="00214540"/>
    <w:rsid w:val="002146AB"/>
    <w:rsid w:val="00214C3A"/>
    <w:rsid w:val="00214D53"/>
    <w:rsid w:val="00215090"/>
    <w:rsid w:val="002150AE"/>
    <w:rsid w:val="002151E3"/>
    <w:rsid w:val="00215959"/>
    <w:rsid w:val="00215DB3"/>
    <w:rsid w:val="00215E7A"/>
    <w:rsid w:val="0021620C"/>
    <w:rsid w:val="002162F5"/>
    <w:rsid w:val="0021646C"/>
    <w:rsid w:val="00216571"/>
    <w:rsid w:val="00216653"/>
    <w:rsid w:val="0021680C"/>
    <w:rsid w:val="00216A8A"/>
    <w:rsid w:val="00216E78"/>
    <w:rsid w:val="00216E7C"/>
    <w:rsid w:val="00216EC0"/>
    <w:rsid w:val="00217275"/>
    <w:rsid w:val="002173BD"/>
    <w:rsid w:val="002175F5"/>
    <w:rsid w:val="0021763C"/>
    <w:rsid w:val="00217BAC"/>
    <w:rsid w:val="00217EDC"/>
    <w:rsid w:val="00220432"/>
    <w:rsid w:val="00220507"/>
    <w:rsid w:val="0022063A"/>
    <w:rsid w:val="002208BE"/>
    <w:rsid w:val="0022093B"/>
    <w:rsid w:val="00220A36"/>
    <w:rsid w:val="0022104D"/>
    <w:rsid w:val="002211DD"/>
    <w:rsid w:val="00221834"/>
    <w:rsid w:val="00222419"/>
    <w:rsid w:val="00222761"/>
    <w:rsid w:val="00222D5F"/>
    <w:rsid w:val="00222E50"/>
    <w:rsid w:val="002235B0"/>
    <w:rsid w:val="0022378B"/>
    <w:rsid w:val="00224078"/>
    <w:rsid w:val="0022427D"/>
    <w:rsid w:val="00224648"/>
    <w:rsid w:val="002248DB"/>
    <w:rsid w:val="00224D94"/>
    <w:rsid w:val="00224DF6"/>
    <w:rsid w:val="002255D1"/>
    <w:rsid w:val="002256FD"/>
    <w:rsid w:val="002257AC"/>
    <w:rsid w:val="00225E03"/>
    <w:rsid w:val="00225FE3"/>
    <w:rsid w:val="00226609"/>
    <w:rsid w:val="00226B33"/>
    <w:rsid w:val="00226C02"/>
    <w:rsid w:val="00226D61"/>
    <w:rsid w:val="00226E78"/>
    <w:rsid w:val="002272A7"/>
    <w:rsid w:val="00227431"/>
    <w:rsid w:val="00227B44"/>
    <w:rsid w:val="00230042"/>
    <w:rsid w:val="0023028A"/>
    <w:rsid w:val="00230309"/>
    <w:rsid w:val="00230384"/>
    <w:rsid w:val="00230398"/>
    <w:rsid w:val="00230512"/>
    <w:rsid w:val="002307EA"/>
    <w:rsid w:val="00230960"/>
    <w:rsid w:val="00230CD1"/>
    <w:rsid w:val="00230D1D"/>
    <w:rsid w:val="00230F41"/>
    <w:rsid w:val="00231126"/>
    <w:rsid w:val="00231495"/>
    <w:rsid w:val="0023171F"/>
    <w:rsid w:val="0023176C"/>
    <w:rsid w:val="00231854"/>
    <w:rsid w:val="00231B37"/>
    <w:rsid w:val="00232089"/>
    <w:rsid w:val="0023289C"/>
    <w:rsid w:val="00232A3D"/>
    <w:rsid w:val="00232B22"/>
    <w:rsid w:val="00232FD8"/>
    <w:rsid w:val="002330BB"/>
    <w:rsid w:val="00233347"/>
    <w:rsid w:val="00233377"/>
    <w:rsid w:val="002333CF"/>
    <w:rsid w:val="0023390C"/>
    <w:rsid w:val="00233BD8"/>
    <w:rsid w:val="00233CBA"/>
    <w:rsid w:val="00234024"/>
    <w:rsid w:val="00234526"/>
    <w:rsid w:val="00234670"/>
    <w:rsid w:val="0023473D"/>
    <w:rsid w:val="00234910"/>
    <w:rsid w:val="002349D4"/>
    <w:rsid w:val="00234C7D"/>
    <w:rsid w:val="00235972"/>
    <w:rsid w:val="00235D5A"/>
    <w:rsid w:val="00235FE3"/>
    <w:rsid w:val="00236352"/>
    <w:rsid w:val="0023648A"/>
    <w:rsid w:val="002364B2"/>
    <w:rsid w:val="002364C5"/>
    <w:rsid w:val="00236D42"/>
    <w:rsid w:val="00236E7A"/>
    <w:rsid w:val="00236F4B"/>
    <w:rsid w:val="002370C8"/>
    <w:rsid w:val="002371E8"/>
    <w:rsid w:val="002374AC"/>
    <w:rsid w:val="002374D2"/>
    <w:rsid w:val="0023793B"/>
    <w:rsid w:val="002379EC"/>
    <w:rsid w:val="00237B6B"/>
    <w:rsid w:val="00237B81"/>
    <w:rsid w:val="00237CD5"/>
    <w:rsid w:val="00237CE2"/>
    <w:rsid w:val="00237EA3"/>
    <w:rsid w:val="00240079"/>
    <w:rsid w:val="00240089"/>
    <w:rsid w:val="002401B0"/>
    <w:rsid w:val="00240A1B"/>
    <w:rsid w:val="00240A55"/>
    <w:rsid w:val="00240D67"/>
    <w:rsid w:val="00240E8E"/>
    <w:rsid w:val="00240EE3"/>
    <w:rsid w:val="00241062"/>
    <w:rsid w:val="00241549"/>
    <w:rsid w:val="002416F3"/>
    <w:rsid w:val="00241E7C"/>
    <w:rsid w:val="002422C3"/>
    <w:rsid w:val="0024250E"/>
    <w:rsid w:val="00242848"/>
    <w:rsid w:val="00242995"/>
    <w:rsid w:val="002429BC"/>
    <w:rsid w:val="00242A80"/>
    <w:rsid w:val="00242AAD"/>
    <w:rsid w:val="00242B0D"/>
    <w:rsid w:val="00242D44"/>
    <w:rsid w:val="00242DDB"/>
    <w:rsid w:val="00243297"/>
    <w:rsid w:val="002433EC"/>
    <w:rsid w:val="00243452"/>
    <w:rsid w:val="00243608"/>
    <w:rsid w:val="00243A2C"/>
    <w:rsid w:val="00244139"/>
    <w:rsid w:val="0024413B"/>
    <w:rsid w:val="002441ED"/>
    <w:rsid w:val="00244431"/>
    <w:rsid w:val="00244874"/>
    <w:rsid w:val="002448D7"/>
    <w:rsid w:val="00244D66"/>
    <w:rsid w:val="0024506A"/>
    <w:rsid w:val="00245455"/>
    <w:rsid w:val="002455B3"/>
    <w:rsid w:val="0024599E"/>
    <w:rsid w:val="00246039"/>
    <w:rsid w:val="00246191"/>
    <w:rsid w:val="002467C6"/>
    <w:rsid w:val="00246907"/>
    <w:rsid w:val="0024692A"/>
    <w:rsid w:val="00246E22"/>
    <w:rsid w:val="00246E94"/>
    <w:rsid w:val="00247102"/>
    <w:rsid w:val="00247212"/>
    <w:rsid w:val="00247418"/>
    <w:rsid w:val="002477EA"/>
    <w:rsid w:val="00247958"/>
    <w:rsid w:val="00247CDF"/>
    <w:rsid w:val="00247D78"/>
    <w:rsid w:val="00247DC5"/>
    <w:rsid w:val="00247F65"/>
    <w:rsid w:val="00250023"/>
    <w:rsid w:val="00250328"/>
    <w:rsid w:val="0025079A"/>
    <w:rsid w:val="00250DF7"/>
    <w:rsid w:val="00251242"/>
    <w:rsid w:val="00251469"/>
    <w:rsid w:val="00251BB5"/>
    <w:rsid w:val="00251D9D"/>
    <w:rsid w:val="002521C3"/>
    <w:rsid w:val="0025239C"/>
    <w:rsid w:val="00252686"/>
    <w:rsid w:val="00252A5B"/>
    <w:rsid w:val="00252BBA"/>
    <w:rsid w:val="00252D1F"/>
    <w:rsid w:val="00252FA0"/>
    <w:rsid w:val="0025306E"/>
    <w:rsid w:val="00253123"/>
    <w:rsid w:val="00253294"/>
    <w:rsid w:val="00253497"/>
    <w:rsid w:val="00253823"/>
    <w:rsid w:val="00253D4E"/>
    <w:rsid w:val="002541C5"/>
    <w:rsid w:val="0025421B"/>
    <w:rsid w:val="0025425C"/>
    <w:rsid w:val="00254276"/>
    <w:rsid w:val="002543C7"/>
    <w:rsid w:val="0025449B"/>
    <w:rsid w:val="002546A4"/>
    <w:rsid w:val="00254B82"/>
    <w:rsid w:val="00254E40"/>
    <w:rsid w:val="00254EB8"/>
    <w:rsid w:val="00255341"/>
    <w:rsid w:val="00255818"/>
    <w:rsid w:val="00255BF1"/>
    <w:rsid w:val="00256121"/>
    <w:rsid w:val="0025684F"/>
    <w:rsid w:val="00256922"/>
    <w:rsid w:val="002570E8"/>
    <w:rsid w:val="00257326"/>
    <w:rsid w:val="00257E2F"/>
    <w:rsid w:val="002601A2"/>
    <w:rsid w:val="00260412"/>
    <w:rsid w:val="00260788"/>
    <w:rsid w:val="00260DA8"/>
    <w:rsid w:val="00260F14"/>
    <w:rsid w:val="00261375"/>
    <w:rsid w:val="00261554"/>
    <w:rsid w:val="00261AC0"/>
    <w:rsid w:val="00261BE0"/>
    <w:rsid w:val="00261BF9"/>
    <w:rsid w:val="00261C9D"/>
    <w:rsid w:val="00261F56"/>
    <w:rsid w:val="002622D2"/>
    <w:rsid w:val="002622D5"/>
    <w:rsid w:val="0026289C"/>
    <w:rsid w:val="002628DC"/>
    <w:rsid w:val="00262979"/>
    <w:rsid w:val="00262C24"/>
    <w:rsid w:val="00263116"/>
    <w:rsid w:val="0026320A"/>
    <w:rsid w:val="002634D8"/>
    <w:rsid w:val="00263C47"/>
    <w:rsid w:val="00263D6B"/>
    <w:rsid w:val="00263E13"/>
    <w:rsid w:val="00263E16"/>
    <w:rsid w:val="00264001"/>
    <w:rsid w:val="002642DF"/>
    <w:rsid w:val="0026431D"/>
    <w:rsid w:val="0026435E"/>
    <w:rsid w:val="00264778"/>
    <w:rsid w:val="00264799"/>
    <w:rsid w:val="00264938"/>
    <w:rsid w:val="00264B38"/>
    <w:rsid w:val="00264F5C"/>
    <w:rsid w:val="00264F6C"/>
    <w:rsid w:val="002650B7"/>
    <w:rsid w:val="002650C3"/>
    <w:rsid w:val="00265473"/>
    <w:rsid w:val="0026589F"/>
    <w:rsid w:val="002658CE"/>
    <w:rsid w:val="00266105"/>
    <w:rsid w:val="0026629A"/>
    <w:rsid w:val="00266354"/>
    <w:rsid w:val="00266408"/>
    <w:rsid w:val="0026655E"/>
    <w:rsid w:val="00266638"/>
    <w:rsid w:val="00266A9C"/>
    <w:rsid w:val="00266E1D"/>
    <w:rsid w:val="00267187"/>
    <w:rsid w:val="00267397"/>
    <w:rsid w:val="002675FB"/>
    <w:rsid w:val="00267A18"/>
    <w:rsid w:val="00267ABD"/>
    <w:rsid w:val="00267C05"/>
    <w:rsid w:val="002701E3"/>
    <w:rsid w:val="002704EA"/>
    <w:rsid w:val="00270949"/>
    <w:rsid w:val="00270AA4"/>
    <w:rsid w:val="00270AB6"/>
    <w:rsid w:val="00270C6E"/>
    <w:rsid w:val="00270C83"/>
    <w:rsid w:val="00271006"/>
    <w:rsid w:val="002712DF"/>
    <w:rsid w:val="0027145F"/>
    <w:rsid w:val="00271550"/>
    <w:rsid w:val="00271585"/>
    <w:rsid w:val="00271802"/>
    <w:rsid w:val="002718D3"/>
    <w:rsid w:val="0027248B"/>
    <w:rsid w:val="0027254A"/>
    <w:rsid w:val="00272EF5"/>
    <w:rsid w:val="00273222"/>
    <w:rsid w:val="0027324B"/>
    <w:rsid w:val="00273462"/>
    <w:rsid w:val="0027363F"/>
    <w:rsid w:val="00273678"/>
    <w:rsid w:val="0027369F"/>
    <w:rsid w:val="0027395B"/>
    <w:rsid w:val="0027470A"/>
    <w:rsid w:val="00274761"/>
    <w:rsid w:val="002749BD"/>
    <w:rsid w:val="00274C38"/>
    <w:rsid w:val="00274D9A"/>
    <w:rsid w:val="0027501B"/>
    <w:rsid w:val="0027502A"/>
    <w:rsid w:val="0027510E"/>
    <w:rsid w:val="00275219"/>
    <w:rsid w:val="002754B9"/>
    <w:rsid w:val="00275568"/>
    <w:rsid w:val="00275854"/>
    <w:rsid w:val="00275B6B"/>
    <w:rsid w:val="00275FF1"/>
    <w:rsid w:val="00276126"/>
    <w:rsid w:val="002767E0"/>
    <w:rsid w:val="00276930"/>
    <w:rsid w:val="00276C37"/>
    <w:rsid w:val="00276E6A"/>
    <w:rsid w:val="00276FEB"/>
    <w:rsid w:val="0027730E"/>
    <w:rsid w:val="0027751C"/>
    <w:rsid w:val="002775CB"/>
    <w:rsid w:val="002776DB"/>
    <w:rsid w:val="00277B28"/>
    <w:rsid w:val="0028035A"/>
    <w:rsid w:val="0028059C"/>
    <w:rsid w:val="00280843"/>
    <w:rsid w:val="00280851"/>
    <w:rsid w:val="00280A51"/>
    <w:rsid w:val="00280EF1"/>
    <w:rsid w:val="0028152A"/>
    <w:rsid w:val="00281946"/>
    <w:rsid w:val="00281A51"/>
    <w:rsid w:val="00281CBE"/>
    <w:rsid w:val="00281EB7"/>
    <w:rsid w:val="00282329"/>
    <w:rsid w:val="00282633"/>
    <w:rsid w:val="00282703"/>
    <w:rsid w:val="00282C35"/>
    <w:rsid w:val="00282C4E"/>
    <w:rsid w:val="00282F5B"/>
    <w:rsid w:val="002830C4"/>
    <w:rsid w:val="002833C1"/>
    <w:rsid w:val="0028353E"/>
    <w:rsid w:val="00283B41"/>
    <w:rsid w:val="00284002"/>
    <w:rsid w:val="00284304"/>
    <w:rsid w:val="00284562"/>
    <w:rsid w:val="0028459B"/>
    <w:rsid w:val="002845EE"/>
    <w:rsid w:val="002849C2"/>
    <w:rsid w:val="002849E4"/>
    <w:rsid w:val="00284AFA"/>
    <w:rsid w:val="00284D32"/>
    <w:rsid w:val="00284DB2"/>
    <w:rsid w:val="00284EF7"/>
    <w:rsid w:val="00284F67"/>
    <w:rsid w:val="00284FC7"/>
    <w:rsid w:val="00285417"/>
    <w:rsid w:val="00285442"/>
    <w:rsid w:val="0028586B"/>
    <w:rsid w:val="00285F28"/>
    <w:rsid w:val="00286398"/>
    <w:rsid w:val="0028651C"/>
    <w:rsid w:val="002865FD"/>
    <w:rsid w:val="00286666"/>
    <w:rsid w:val="0028691D"/>
    <w:rsid w:val="00286A46"/>
    <w:rsid w:val="00286CE1"/>
    <w:rsid w:val="002873A8"/>
    <w:rsid w:val="002874A0"/>
    <w:rsid w:val="00287592"/>
    <w:rsid w:val="002877AA"/>
    <w:rsid w:val="00287E2F"/>
    <w:rsid w:val="00290047"/>
    <w:rsid w:val="00290167"/>
    <w:rsid w:val="002901C0"/>
    <w:rsid w:val="00290368"/>
    <w:rsid w:val="00290398"/>
    <w:rsid w:val="002904B8"/>
    <w:rsid w:val="002906D8"/>
    <w:rsid w:val="002908B3"/>
    <w:rsid w:val="00290C78"/>
    <w:rsid w:val="00290D64"/>
    <w:rsid w:val="00291284"/>
    <w:rsid w:val="002914CA"/>
    <w:rsid w:val="00291654"/>
    <w:rsid w:val="002918EE"/>
    <w:rsid w:val="00291DE8"/>
    <w:rsid w:val="00291E0D"/>
    <w:rsid w:val="00292021"/>
    <w:rsid w:val="00292539"/>
    <w:rsid w:val="00292811"/>
    <w:rsid w:val="00292A70"/>
    <w:rsid w:val="00292AF8"/>
    <w:rsid w:val="00292BD7"/>
    <w:rsid w:val="00292CF8"/>
    <w:rsid w:val="00292D3C"/>
    <w:rsid w:val="00292DF5"/>
    <w:rsid w:val="00292FF4"/>
    <w:rsid w:val="00293013"/>
    <w:rsid w:val="0029312C"/>
    <w:rsid w:val="00293145"/>
    <w:rsid w:val="002932C9"/>
    <w:rsid w:val="002936EC"/>
    <w:rsid w:val="00293943"/>
    <w:rsid w:val="00293DED"/>
    <w:rsid w:val="00293F02"/>
    <w:rsid w:val="00294077"/>
    <w:rsid w:val="00294267"/>
    <w:rsid w:val="00294480"/>
    <w:rsid w:val="0029473F"/>
    <w:rsid w:val="0029489C"/>
    <w:rsid w:val="002948ED"/>
    <w:rsid w:val="00294ABE"/>
    <w:rsid w:val="00294D09"/>
    <w:rsid w:val="00294E4A"/>
    <w:rsid w:val="00294EB8"/>
    <w:rsid w:val="002952FA"/>
    <w:rsid w:val="00295390"/>
    <w:rsid w:val="0029541E"/>
    <w:rsid w:val="00295512"/>
    <w:rsid w:val="00295519"/>
    <w:rsid w:val="00295831"/>
    <w:rsid w:val="0029623E"/>
    <w:rsid w:val="00296C5F"/>
    <w:rsid w:val="00296F82"/>
    <w:rsid w:val="00297700"/>
    <w:rsid w:val="00297C13"/>
    <w:rsid w:val="00297F37"/>
    <w:rsid w:val="002A012B"/>
    <w:rsid w:val="002A0678"/>
    <w:rsid w:val="002A074F"/>
    <w:rsid w:val="002A13A2"/>
    <w:rsid w:val="002A17FA"/>
    <w:rsid w:val="002A1B99"/>
    <w:rsid w:val="002A1D4E"/>
    <w:rsid w:val="002A214C"/>
    <w:rsid w:val="002A218C"/>
    <w:rsid w:val="002A23BC"/>
    <w:rsid w:val="002A23E5"/>
    <w:rsid w:val="002A2494"/>
    <w:rsid w:val="002A26CD"/>
    <w:rsid w:val="002A27D2"/>
    <w:rsid w:val="002A2CE9"/>
    <w:rsid w:val="002A2E8C"/>
    <w:rsid w:val="002A2F7D"/>
    <w:rsid w:val="002A342E"/>
    <w:rsid w:val="002A349B"/>
    <w:rsid w:val="002A34D1"/>
    <w:rsid w:val="002A39AC"/>
    <w:rsid w:val="002A3A9A"/>
    <w:rsid w:val="002A3C42"/>
    <w:rsid w:val="002A3E83"/>
    <w:rsid w:val="002A3F01"/>
    <w:rsid w:val="002A40CE"/>
    <w:rsid w:val="002A41C7"/>
    <w:rsid w:val="002A4829"/>
    <w:rsid w:val="002A4C62"/>
    <w:rsid w:val="002A4D8C"/>
    <w:rsid w:val="002A4ED3"/>
    <w:rsid w:val="002A4FF2"/>
    <w:rsid w:val="002A5026"/>
    <w:rsid w:val="002A5298"/>
    <w:rsid w:val="002A54C2"/>
    <w:rsid w:val="002A5811"/>
    <w:rsid w:val="002A5870"/>
    <w:rsid w:val="002A594F"/>
    <w:rsid w:val="002A5A9D"/>
    <w:rsid w:val="002A5B20"/>
    <w:rsid w:val="002A5B6F"/>
    <w:rsid w:val="002A5D75"/>
    <w:rsid w:val="002A5EAA"/>
    <w:rsid w:val="002A69B2"/>
    <w:rsid w:val="002A6BAC"/>
    <w:rsid w:val="002A70E3"/>
    <w:rsid w:val="002A79E3"/>
    <w:rsid w:val="002A7AB6"/>
    <w:rsid w:val="002A7C91"/>
    <w:rsid w:val="002A7DBB"/>
    <w:rsid w:val="002A7ECF"/>
    <w:rsid w:val="002B0164"/>
    <w:rsid w:val="002B01F9"/>
    <w:rsid w:val="002B03A9"/>
    <w:rsid w:val="002B0647"/>
    <w:rsid w:val="002B0701"/>
    <w:rsid w:val="002B0758"/>
    <w:rsid w:val="002B094A"/>
    <w:rsid w:val="002B0B13"/>
    <w:rsid w:val="002B0BE4"/>
    <w:rsid w:val="002B0DA3"/>
    <w:rsid w:val="002B13E2"/>
    <w:rsid w:val="002B160E"/>
    <w:rsid w:val="002B1633"/>
    <w:rsid w:val="002B17FB"/>
    <w:rsid w:val="002B1A06"/>
    <w:rsid w:val="002B1B1A"/>
    <w:rsid w:val="002B1BBD"/>
    <w:rsid w:val="002B21F5"/>
    <w:rsid w:val="002B2438"/>
    <w:rsid w:val="002B2679"/>
    <w:rsid w:val="002B2C39"/>
    <w:rsid w:val="002B2E13"/>
    <w:rsid w:val="002B2E56"/>
    <w:rsid w:val="002B2F07"/>
    <w:rsid w:val="002B2F74"/>
    <w:rsid w:val="002B3344"/>
    <w:rsid w:val="002B3766"/>
    <w:rsid w:val="002B391C"/>
    <w:rsid w:val="002B3BCE"/>
    <w:rsid w:val="002B4175"/>
    <w:rsid w:val="002B4916"/>
    <w:rsid w:val="002B4930"/>
    <w:rsid w:val="002B4BBB"/>
    <w:rsid w:val="002B4CF8"/>
    <w:rsid w:val="002B56FD"/>
    <w:rsid w:val="002B574A"/>
    <w:rsid w:val="002B5835"/>
    <w:rsid w:val="002B5EC9"/>
    <w:rsid w:val="002B626E"/>
    <w:rsid w:val="002B6302"/>
    <w:rsid w:val="002B6432"/>
    <w:rsid w:val="002B65A1"/>
    <w:rsid w:val="002B6663"/>
    <w:rsid w:val="002B6779"/>
    <w:rsid w:val="002B685E"/>
    <w:rsid w:val="002B693D"/>
    <w:rsid w:val="002B6C48"/>
    <w:rsid w:val="002B7228"/>
    <w:rsid w:val="002B7263"/>
    <w:rsid w:val="002B72CE"/>
    <w:rsid w:val="002B79C1"/>
    <w:rsid w:val="002B7A8A"/>
    <w:rsid w:val="002B7AE2"/>
    <w:rsid w:val="002B7F7B"/>
    <w:rsid w:val="002C0B89"/>
    <w:rsid w:val="002C0C53"/>
    <w:rsid w:val="002C109F"/>
    <w:rsid w:val="002C165A"/>
    <w:rsid w:val="002C1A54"/>
    <w:rsid w:val="002C1D8E"/>
    <w:rsid w:val="002C1EF1"/>
    <w:rsid w:val="002C1F5D"/>
    <w:rsid w:val="002C20BA"/>
    <w:rsid w:val="002C20D2"/>
    <w:rsid w:val="002C23E2"/>
    <w:rsid w:val="002C2B02"/>
    <w:rsid w:val="002C2FCD"/>
    <w:rsid w:val="002C3280"/>
    <w:rsid w:val="002C3292"/>
    <w:rsid w:val="002C3576"/>
    <w:rsid w:val="002C3985"/>
    <w:rsid w:val="002C451D"/>
    <w:rsid w:val="002C464B"/>
    <w:rsid w:val="002C4720"/>
    <w:rsid w:val="002C4986"/>
    <w:rsid w:val="002C53EE"/>
    <w:rsid w:val="002C541D"/>
    <w:rsid w:val="002C5D11"/>
    <w:rsid w:val="002C5DB9"/>
    <w:rsid w:val="002C5F0E"/>
    <w:rsid w:val="002C6114"/>
    <w:rsid w:val="002C62F5"/>
    <w:rsid w:val="002C65EA"/>
    <w:rsid w:val="002C6619"/>
    <w:rsid w:val="002C6665"/>
    <w:rsid w:val="002C6DF2"/>
    <w:rsid w:val="002C6F58"/>
    <w:rsid w:val="002C6F78"/>
    <w:rsid w:val="002C711C"/>
    <w:rsid w:val="002C71A8"/>
    <w:rsid w:val="002C7611"/>
    <w:rsid w:val="002C779F"/>
    <w:rsid w:val="002C7854"/>
    <w:rsid w:val="002C78FF"/>
    <w:rsid w:val="002C7D2F"/>
    <w:rsid w:val="002D0561"/>
    <w:rsid w:val="002D07C1"/>
    <w:rsid w:val="002D15A4"/>
    <w:rsid w:val="002D15EB"/>
    <w:rsid w:val="002D16D1"/>
    <w:rsid w:val="002D176C"/>
    <w:rsid w:val="002D1C9F"/>
    <w:rsid w:val="002D24F7"/>
    <w:rsid w:val="002D2799"/>
    <w:rsid w:val="002D2CD7"/>
    <w:rsid w:val="002D2D9E"/>
    <w:rsid w:val="002D3051"/>
    <w:rsid w:val="002D30EF"/>
    <w:rsid w:val="002D37B5"/>
    <w:rsid w:val="002D3CF4"/>
    <w:rsid w:val="002D423A"/>
    <w:rsid w:val="002D4866"/>
    <w:rsid w:val="002D4967"/>
    <w:rsid w:val="002D4B53"/>
    <w:rsid w:val="002D4C02"/>
    <w:rsid w:val="002D4D3B"/>
    <w:rsid w:val="002D4DDC"/>
    <w:rsid w:val="002D4F75"/>
    <w:rsid w:val="002D52A9"/>
    <w:rsid w:val="002D541D"/>
    <w:rsid w:val="002D5735"/>
    <w:rsid w:val="002D5F4D"/>
    <w:rsid w:val="002D60A6"/>
    <w:rsid w:val="002D630E"/>
    <w:rsid w:val="002D6313"/>
    <w:rsid w:val="002D6346"/>
    <w:rsid w:val="002D63B4"/>
    <w:rsid w:val="002D6493"/>
    <w:rsid w:val="002D6669"/>
    <w:rsid w:val="002D6690"/>
    <w:rsid w:val="002D66FA"/>
    <w:rsid w:val="002D6730"/>
    <w:rsid w:val="002D6A09"/>
    <w:rsid w:val="002D6CB5"/>
    <w:rsid w:val="002D7135"/>
    <w:rsid w:val="002D7158"/>
    <w:rsid w:val="002D722D"/>
    <w:rsid w:val="002D736D"/>
    <w:rsid w:val="002D73B0"/>
    <w:rsid w:val="002D7719"/>
    <w:rsid w:val="002D7AB6"/>
    <w:rsid w:val="002E03C5"/>
    <w:rsid w:val="002E06D0"/>
    <w:rsid w:val="002E0984"/>
    <w:rsid w:val="002E0C36"/>
    <w:rsid w:val="002E0C76"/>
    <w:rsid w:val="002E0DEF"/>
    <w:rsid w:val="002E0DFD"/>
    <w:rsid w:val="002E0FF4"/>
    <w:rsid w:val="002E155C"/>
    <w:rsid w:val="002E1623"/>
    <w:rsid w:val="002E16E2"/>
    <w:rsid w:val="002E1705"/>
    <w:rsid w:val="002E1844"/>
    <w:rsid w:val="002E18B6"/>
    <w:rsid w:val="002E1B6F"/>
    <w:rsid w:val="002E1DB0"/>
    <w:rsid w:val="002E200E"/>
    <w:rsid w:val="002E220E"/>
    <w:rsid w:val="002E22FD"/>
    <w:rsid w:val="002E23B6"/>
    <w:rsid w:val="002E2500"/>
    <w:rsid w:val="002E25EB"/>
    <w:rsid w:val="002E2D79"/>
    <w:rsid w:val="002E30F6"/>
    <w:rsid w:val="002E32CA"/>
    <w:rsid w:val="002E357F"/>
    <w:rsid w:val="002E3C27"/>
    <w:rsid w:val="002E403A"/>
    <w:rsid w:val="002E41EB"/>
    <w:rsid w:val="002E4285"/>
    <w:rsid w:val="002E4540"/>
    <w:rsid w:val="002E4661"/>
    <w:rsid w:val="002E46C0"/>
    <w:rsid w:val="002E4791"/>
    <w:rsid w:val="002E503F"/>
    <w:rsid w:val="002E50FD"/>
    <w:rsid w:val="002E5185"/>
    <w:rsid w:val="002E5217"/>
    <w:rsid w:val="002E543A"/>
    <w:rsid w:val="002E56EB"/>
    <w:rsid w:val="002E5740"/>
    <w:rsid w:val="002E5922"/>
    <w:rsid w:val="002E600E"/>
    <w:rsid w:val="002E6120"/>
    <w:rsid w:val="002E620B"/>
    <w:rsid w:val="002E67DA"/>
    <w:rsid w:val="002E68CC"/>
    <w:rsid w:val="002E6A63"/>
    <w:rsid w:val="002E6AA6"/>
    <w:rsid w:val="002E6BC0"/>
    <w:rsid w:val="002E711C"/>
    <w:rsid w:val="002E744E"/>
    <w:rsid w:val="002E7F3A"/>
    <w:rsid w:val="002E7F8D"/>
    <w:rsid w:val="002F01DA"/>
    <w:rsid w:val="002F05E6"/>
    <w:rsid w:val="002F0603"/>
    <w:rsid w:val="002F06E1"/>
    <w:rsid w:val="002F0A40"/>
    <w:rsid w:val="002F0B5A"/>
    <w:rsid w:val="002F0FAC"/>
    <w:rsid w:val="002F1082"/>
    <w:rsid w:val="002F132F"/>
    <w:rsid w:val="002F15EC"/>
    <w:rsid w:val="002F18B0"/>
    <w:rsid w:val="002F1B27"/>
    <w:rsid w:val="002F20C9"/>
    <w:rsid w:val="002F2374"/>
    <w:rsid w:val="002F2892"/>
    <w:rsid w:val="002F2C4A"/>
    <w:rsid w:val="002F2C6C"/>
    <w:rsid w:val="002F2C7A"/>
    <w:rsid w:val="002F2FB1"/>
    <w:rsid w:val="002F319C"/>
    <w:rsid w:val="002F3500"/>
    <w:rsid w:val="002F3754"/>
    <w:rsid w:val="002F3F5D"/>
    <w:rsid w:val="002F3FC6"/>
    <w:rsid w:val="002F4181"/>
    <w:rsid w:val="002F4645"/>
    <w:rsid w:val="002F4781"/>
    <w:rsid w:val="002F49A1"/>
    <w:rsid w:val="002F4EDB"/>
    <w:rsid w:val="002F4FA6"/>
    <w:rsid w:val="002F53E3"/>
    <w:rsid w:val="002F545F"/>
    <w:rsid w:val="002F5492"/>
    <w:rsid w:val="002F54B1"/>
    <w:rsid w:val="002F557A"/>
    <w:rsid w:val="002F55B9"/>
    <w:rsid w:val="002F55D3"/>
    <w:rsid w:val="002F5C5A"/>
    <w:rsid w:val="002F5D35"/>
    <w:rsid w:val="002F5D7F"/>
    <w:rsid w:val="002F5DED"/>
    <w:rsid w:val="002F5F01"/>
    <w:rsid w:val="002F6054"/>
    <w:rsid w:val="002F61B0"/>
    <w:rsid w:val="002F6569"/>
    <w:rsid w:val="002F6616"/>
    <w:rsid w:val="002F6AE6"/>
    <w:rsid w:val="002F6D6C"/>
    <w:rsid w:val="002F7191"/>
    <w:rsid w:val="002F72E5"/>
    <w:rsid w:val="002F74AE"/>
    <w:rsid w:val="002F78FE"/>
    <w:rsid w:val="002F79AE"/>
    <w:rsid w:val="002F7D3D"/>
    <w:rsid w:val="00300006"/>
    <w:rsid w:val="003000FC"/>
    <w:rsid w:val="003003C8"/>
    <w:rsid w:val="003003F7"/>
    <w:rsid w:val="003005B2"/>
    <w:rsid w:val="00300BE9"/>
    <w:rsid w:val="00300DF3"/>
    <w:rsid w:val="00300E79"/>
    <w:rsid w:val="00301882"/>
    <w:rsid w:val="003019BE"/>
    <w:rsid w:val="00301BB0"/>
    <w:rsid w:val="00301C52"/>
    <w:rsid w:val="00301C92"/>
    <w:rsid w:val="003021DA"/>
    <w:rsid w:val="00302791"/>
    <w:rsid w:val="0030308D"/>
    <w:rsid w:val="0030356D"/>
    <w:rsid w:val="00303835"/>
    <w:rsid w:val="00303BA4"/>
    <w:rsid w:val="00303BF3"/>
    <w:rsid w:val="00303FEE"/>
    <w:rsid w:val="00304010"/>
    <w:rsid w:val="0030426B"/>
    <w:rsid w:val="003044E9"/>
    <w:rsid w:val="00304894"/>
    <w:rsid w:val="00304A71"/>
    <w:rsid w:val="00304AB5"/>
    <w:rsid w:val="00304D28"/>
    <w:rsid w:val="00304E1C"/>
    <w:rsid w:val="003050D5"/>
    <w:rsid w:val="00305690"/>
    <w:rsid w:val="003056E1"/>
    <w:rsid w:val="00305708"/>
    <w:rsid w:val="00305716"/>
    <w:rsid w:val="003058F5"/>
    <w:rsid w:val="00305952"/>
    <w:rsid w:val="00305A6F"/>
    <w:rsid w:val="00305B1A"/>
    <w:rsid w:val="00305ECF"/>
    <w:rsid w:val="00305F2B"/>
    <w:rsid w:val="0030620C"/>
    <w:rsid w:val="003065F5"/>
    <w:rsid w:val="003066F8"/>
    <w:rsid w:val="003067EB"/>
    <w:rsid w:val="003067F0"/>
    <w:rsid w:val="003068A1"/>
    <w:rsid w:val="003069F8"/>
    <w:rsid w:val="00306CF7"/>
    <w:rsid w:val="0030714D"/>
    <w:rsid w:val="00307AFD"/>
    <w:rsid w:val="00307E43"/>
    <w:rsid w:val="00307ECC"/>
    <w:rsid w:val="0031003F"/>
    <w:rsid w:val="003105D2"/>
    <w:rsid w:val="003107C1"/>
    <w:rsid w:val="00310A77"/>
    <w:rsid w:val="00310D39"/>
    <w:rsid w:val="00310E13"/>
    <w:rsid w:val="00310F80"/>
    <w:rsid w:val="0031115E"/>
    <w:rsid w:val="0031156F"/>
    <w:rsid w:val="00311AF7"/>
    <w:rsid w:val="00311B4C"/>
    <w:rsid w:val="00311CD0"/>
    <w:rsid w:val="00311DB5"/>
    <w:rsid w:val="00312024"/>
    <w:rsid w:val="003120FC"/>
    <w:rsid w:val="003123B0"/>
    <w:rsid w:val="00312563"/>
    <w:rsid w:val="00312C46"/>
    <w:rsid w:val="00312EC2"/>
    <w:rsid w:val="00312F43"/>
    <w:rsid w:val="00313765"/>
    <w:rsid w:val="00313814"/>
    <w:rsid w:val="003138F8"/>
    <w:rsid w:val="00313DA7"/>
    <w:rsid w:val="003141A4"/>
    <w:rsid w:val="00314446"/>
    <w:rsid w:val="003145C5"/>
    <w:rsid w:val="0031461B"/>
    <w:rsid w:val="00314B9A"/>
    <w:rsid w:val="00314F4B"/>
    <w:rsid w:val="003151B9"/>
    <w:rsid w:val="003154F5"/>
    <w:rsid w:val="00315551"/>
    <w:rsid w:val="003155E8"/>
    <w:rsid w:val="00315713"/>
    <w:rsid w:val="00315B8F"/>
    <w:rsid w:val="00315CD3"/>
    <w:rsid w:val="00316068"/>
    <w:rsid w:val="0031686C"/>
    <w:rsid w:val="00316A24"/>
    <w:rsid w:val="00316A33"/>
    <w:rsid w:val="00316E5E"/>
    <w:rsid w:val="00316EA3"/>
    <w:rsid w:val="00316ECF"/>
    <w:rsid w:val="00316F4E"/>
    <w:rsid w:val="00316FE0"/>
    <w:rsid w:val="0031747B"/>
    <w:rsid w:val="003175EA"/>
    <w:rsid w:val="0031774C"/>
    <w:rsid w:val="00317EFE"/>
    <w:rsid w:val="003201AE"/>
    <w:rsid w:val="003202C7"/>
    <w:rsid w:val="003202E9"/>
    <w:rsid w:val="003204D2"/>
    <w:rsid w:val="003204F0"/>
    <w:rsid w:val="00320581"/>
    <w:rsid w:val="003205E5"/>
    <w:rsid w:val="00320A28"/>
    <w:rsid w:val="0032117F"/>
    <w:rsid w:val="003211DB"/>
    <w:rsid w:val="003216A2"/>
    <w:rsid w:val="0032192A"/>
    <w:rsid w:val="00322008"/>
    <w:rsid w:val="003220A1"/>
    <w:rsid w:val="00322485"/>
    <w:rsid w:val="00322578"/>
    <w:rsid w:val="00322DB3"/>
    <w:rsid w:val="00322F1C"/>
    <w:rsid w:val="00322FE9"/>
    <w:rsid w:val="00323052"/>
    <w:rsid w:val="00323074"/>
    <w:rsid w:val="0032318C"/>
    <w:rsid w:val="0032320C"/>
    <w:rsid w:val="00323316"/>
    <w:rsid w:val="00323347"/>
    <w:rsid w:val="00323486"/>
    <w:rsid w:val="00323700"/>
    <w:rsid w:val="003237D9"/>
    <w:rsid w:val="003237FA"/>
    <w:rsid w:val="00323B6E"/>
    <w:rsid w:val="00323E36"/>
    <w:rsid w:val="00324172"/>
    <w:rsid w:val="00324BA3"/>
    <w:rsid w:val="00324C2F"/>
    <w:rsid w:val="00324D06"/>
    <w:rsid w:val="0032515F"/>
    <w:rsid w:val="00325636"/>
    <w:rsid w:val="00325641"/>
    <w:rsid w:val="0032583D"/>
    <w:rsid w:val="00325C33"/>
    <w:rsid w:val="00325DC1"/>
    <w:rsid w:val="0032605E"/>
    <w:rsid w:val="003261E5"/>
    <w:rsid w:val="0032694A"/>
    <w:rsid w:val="003269C3"/>
    <w:rsid w:val="00326C76"/>
    <w:rsid w:val="003273E2"/>
    <w:rsid w:val="003275D1"/>
    <w:rsid w:val="0032769E"/>
    <w:rsid w:val="003277C4"/>
    <w:rsid w:val="003277CC"/>
    <w:rsid w:val="00327B2D"/>
    <w:rsid w:val="00327D75"/>
    <w:rsid w:val="00327E63"/>
    <w:rsid w:val="00327EC3"/>
    <w:rsid w:val="00330050"/>
    <w:rsid w:val="0033016A"/>
    <w:rsid w:val="00330198"/>
    <w:rsid w:val="0033032E"/>
    <w:rsid w:val="00330674"/>
    <w:rsid w:val="00330B2A"/>
    <w:rsid w:val="00330D3A"/>
    <w:rsid w:val="00330E45"/>
    <w:rsid w:val="00330F8B"/>
    <w:rsid w:val="0033132C"/>
    <w:rsid w:val="00331519"/>
    <w:rsid w:val="00331AC5"/>
    <w:rsid w:val="00331B32"/>
    <w:rsid w:val="00331E17"/>
    <w:rsid w:val="0033239F"/>
    <w:rsid w:val="00332509"/>
    <w:rsid w:val="0033271F"/>
    <w:rsid w:val="003329BE"/>
    <w:rsid w:val="00333063"/>
    <w:rsid w:val="003332F8"/>
    <w:rsid w:val="00333ABC"/>
    <w:rsid w:val="00333C88"/>
    <w:rsid w:val="00333DEA"/>
    <w:rsid w:val="00333E30"/>
    <w:rsid w:val="00333FF1"/>
    <w:rsid w:val="0033423D"/>
    <w:rsid w:val="0033426F"/>
    <w:rsid w:val="003344F8"/>
    <w:rsid w:val="0033499F"/>
    <w:rsid w:val="00334CF8"/>
    <w:rsid w:val="00334F0E"/>
    <w:rsid w:val="00335C85"/>
    <w:rsid w:val="00335CC4"/>
    <w:rsid w:val="00335D5B"/>
    <w:rsid w:val="0033654E"/>
    <w:rsid w:val="00336843"/>
    <w:rsid w:val="003369FB"/>
    <w:rsid w:val="00336A8E"/>
    <w:rsid w:val="003370C1"/>
    <w:rsid w:val="003371D3"/>
    <w:rsid w:val="00337225"/>
    <w:rsid w:val="00337C6D"/>
    <w:rsid w:val="003402FD"/>
    <w:rsid w:val="003406C5"/>
    <w:rsid w:val="003408E3"/>
    <w:rsid w:val="00340920"/>
    <w:rsid w:val="00340B6F"/>
    <w:rsid w:val="00341488"/>
    <w:rsid w:val="003414B2"/>
    <w:rsid w:val="00341674"/>
    <w:rsid w:val="00341CEE"/>
    <w:rsid w:val="003421EC"/>
    <w:rsid w:val="00342227"/>
    <w:rsid w:val="00342517"/>
    <w:rsid w:val="00342712"/>
    <w:rsid w:val="00343480"/>
    <w:rsid w:val="00343609"/>
    <w:rsid w:val="00343657"/>
    <w:rsid w:val="0034377B"/>
    <w:rsid w:val="00343915"/>
    <w:rsid w:val="00343FFC"/>
    <w:rsid w:val="00344530"/>
    <w:rsid w:val="0034462A"/>
    <w:rsid w:val="00344C28"/>
    <w:rsid w:val="003451D0"/>
    <w:rsid w:val="003451E4"/>
    <w:rsid w:val="003452BD"/>
    <w:rsid w:val="003454FF"/>
    <w:rsid w:val="00345E89"/>
    <w:rsid w:val="00346A25"/>
    <w:rsid w:val="00346A3F"/>
    <w:rsid w:val="00346AD4"/>
    <w:rsid w:val="00346B24"/>
    <w:rsid w:val="00346BF6"/>
    <w:rsid w:val="00346C7B"/>
    <w:rsid w:val="00346D5D"/>
    <w:rsid w:val="00346D65"/>
    <w:rsid w:val="00346F11"/>
    <w:rsid w:val="00347520"/>
    <w:rsid w:val="003475CB"/>
    <w:rsid w:val="003478B0"/>
    <w:rsid w:val="003478FB"/>
    <w:rsid w:val="00347A13"/>
    <w:rsid w:val="00350213"/>
    <w:rsid w:val="003502E3"/>
    <w:rsid w:val="003503E6"/>
    <w:rsid w:val="00350427"/>
    <w:rsid w:val="00350BE5"/>
    <w:rsid w:val="00351380"/>
    <w:rsid w:val="003517E3"/>
    <w:rsid w:val="00351A5B"/>
    <w:rsid w:val="00351B20"/>
    <w:rsid w:val="00351B61"/>
    <w:rsid w:val="00351C76"/>
    <w:rsid w:val="00351D58"/>
    <w:rsid w:val="003522A1"/>
    <w:rsid w:val="0035254B"/>
    <w:rsid w:val="00352F2F"/>
    <w:rsid w:val="00353261"/>
    <w:rsid w:val="0035329D"/>
    <w:rsid w:val="00353555"/>
    <w:rsid w:val="00353789"/>
    <w:rsid w:val="00353C3A"/>
    <w:rsid w:val="00353D0B"/>
    <w:rsid w:val="00353E33"/>
    <w:rsid w:val="00353F7C"/>
    <w:rsid w:val="00353FAE"/>
    <w:rsid w:val="0035410A"/>
    <w:rsid w:val="00354197"/>
    <w:rsid w:val="00354463"/>
    <w:rsid w:val="00354578"/>
    <w:rsid w:val="00354786"/>
    <w:rsid w:val="003547A1"/>
    <w:rsid w:val="00354927"/>
    <w:rsid w:val="00354EBA"/>
    <w:rsid w:val="00355484"/>
    <w:rsid w:val="00355598"/>
    <w:rsid w:val="00355AF4"/>
    <w:rsid w:val="00355B3E"/>
    <w:rsid w:val="00355CA9"/>
    <w:rsid w:val="00355CBC"/>
    <w:rsid w:val="00355D5A"/>
    <w:rsid w:val="00356453"/>
    <w:rsid w:val="003564E0"/>
    <w:rsid w:val="003565D4"/>
    <w:rsid w:val="0035686D"/>
    <w:rsid w:val="00357366"/>
    <w:rsid w:val="003573C4"/>
    <w:rsid w:val="003574F5"/>
    <w:rsid w:val="0035767C"/>
    <w:rsid w:val="00357791"/>
    <w:rsid w:val="00357871"/>
    <w:rsid w:val="00357A41"/>
    <w:rsid w:val="00357AFA"/>
    <w:rsid w:val="00357E32"/>
    <w:rsid w:val="00357F36"/>
    <w:rsid w:val="00360315"/>
    <w:rsid w:val="00360778"/>
    <w:rsid w:val="003607FB"/>
    <w:rsid w:val="00360B19"/>
    <w:rsid w:val="00360CCE"/>
    <w:rsid w:val="00360EC7"/>
    <w:rsid w:val="00360FD5"/>
    <w:rsid w:val="0036101B"/>
    <w:rsid w:val="0036167D"/>
    <w:rsid w:val="003616A4"/>
    <w:rsid w:val="003616FE"/>
    <w:rsid w:val="00361DF7"/>
    <w:rsid w:val="003620FE"/>
    <w:rsid w:val="00362410"/>
    <w:rsid w:val="00363232"/>
    <w:rsid w:val="0036340D"/>
    <w:rsid w:val="003634A5"/>
    <w:rsid w:val="00363584"/>
    <w:rsid w:val="003636C3"/>
    <w:rsid w:val="00363ACB"/>
    <w:rsid w:val="00363C1A"/>
    <w:rsid w:val="00363C7B"/>
    <w:rsid w:val="00363E90"/>
    <w:rsid w:val="00364114"/>
    <w:rsid w:val="00364589"/>
    <w:rsid w:val="0036466B"/>
    <w:rsid w:val="003648B1"/>
    <w:rsid w:val="00364B01"/>
    <w:rsid w:val="00364C1D"/>
    <w:rsid w:val="00364CBB"/>
    <w:rsid w:val="00364E34"/>
    <w:rsid w:val="00365223"/>
    <w:rsid w:val="003656BF"/>
    <w:rsid w:val="0036592B"/>
    <w:rsid w:val="00365D6D"/>
    <w:rsid w:val="00366868"/>
    <w:rsid w:val="003669FB"/>
    <w:rsid w:val="0036713E"/>
    <w:rsid w:val="00367287"/>
    <w:rsid w:val="003674A3"/>
    <w:rsid w:val="00367506"/>
    <w:rsid w:val="00367664"/>
    <w:rsid w:val="00367A1F"/>
    <w:rsid w:val="00367C14"/>
    <w:rsid w:val="00370085"/>
    <w:rsid w:val="00370DA9"/>
    <w:rsid w:val="003712E4"/>
    <w:rsid w:val="00371304"/>
    <w:rsid w:val="003713C0"/>
    <w:rsid w:val="00371779"/>
    <w:rsid w:val="00372194"/>
    <w:rsid w:val="0037235A"/>
    <w:rsid w:val="003724A2"/>
    <w:rsid w:val="0037275B"/>
    <w:rsid w:val="003727C1"/>
    <w:rsid w:val="0037289A"/>
    <w:rsid w:val="00372E7C"/>
    <w:rsid w:val="0037323B"/>
    <w:rsid w:val="003732ED"/>
    <w:rsid w:val="00373500"/>
    <w:rsid w:val="003735DB"/>
    <w:rsid w:val="003739BF"/>
    <w:rsid w:val="003739E9"/>
    <w:rsid w:val="003739FA"/>
    <w:rsid w:val="00373A6C"/>
    <w:rsid w:val="00373C5B"/>
    <w:rsid w:val="00373F48"/>
    <w:rsid w:val="00374140"/>
    <w:rsid w:val="003742C1"/>
    <w:rsid w:val="0037442B"/>
    <w:rsid w:val="00374473"/>
    <w:rsid w:val="003744A7"/>
    <w:rsid w:val="00374CFD"/>
    <w:rsid w:val="00374D4B"/>
    <w:rsid w:val="00374F24"/>
    <w:rsid w:val="0037528E"/>
    <w:rsid w:val="0037574F"/>
    <w:rsid w:val="00375B7C"/>
    <w:rsid w:val="00375CEC"/>
    <w:rsid w:val="00375F2A"/>
    <w:rsid w:val="003760A4"/>
    <w:rsid w:val="00376235"/>
    <w:rsid w:val="00376D12"/>
    <w:rsid w:val="00376ECC"/>
    <w:rsid w:val="0037739F"/>
    <w:rsid w:val="003774D4"/>
    <w:rsid w:val="00377D83"/>
    <w:rsid w:val="00377F38"/>
    <w:rsid w:val="0038061D"/>
    <w:rsid w:val="0038063E"/>
    <w:rsid w:val="003806B1"/>
    <w:rsid w:val="003807B9"/>
    <w:rsid w:val="00381390"/>
    <w:rsid w:val="00381465"/>
    <w:rsid w:val="003816E3"/>
    <w:rsid w:val="00381971"/>
    <w:rsid w:val="00381997"/>
    <w:rsid w:val="00381B33"/>
    <w:rsid w:val="00381FB6"/>
    <w:rsid w:val="003823CA"/>
    <w:rsid w:val="003824FF"/>
    <w:rsid w:val="003825AB"/>
    <w:rsid w:val="003828B7"/>
    <w:rsid w:val="00382995"/>
    <w:rsid w:val="00382A0C"/>
    <w:rsid w:val="00382BD7"/>
    <w:rsid w:val="00382D82"/>
    <w:rsid w:val="0038330F"/>
    <w:rsid w:val="003835DF"/>
    <w:rsid w:val="003836D3"/>
    <w:rsid w:val="00383A52"/>
    <w:rsid w:val="00383D40"/>
    <w:rsid w:val="00383F45"/>
    <w:rsid w:val="00383FD3"/>
    <w:rsid w:val="003841C0"/>
    <w:rsid w:val="00384717"/>
    <w:rsid w:val="00384A2B"/>
    <w:rsid w:val="00384CE8"/>
    <w:rsid w:val="003850BE"/>
    <w:rsid w:val="0038517F"/>
    <w:rsid w:val="003852D5"/>
    <w:rsid w:val="00385339"/>
    <w:rsid w:val="003855DC"/>
    <w:rsid w:val="00385897"/>
    <w:rsid w:val="003859B5"/>
    <w:rsid w:val="00385A5E"/>
    <w:rsid w:val="00385A77"/>
    <w:rsid w:val="00385AB3"/>
    <w:rsid w:val="00385F6A"/>
    <w:rsid w:val="003863E4"/>
    <w:rsid w:val="003864A1"/>
    <w:rsid w:val="00386C8E"/>
    <w:rsid w:val="00387198"/>
    <w:rsid w:val="003871A4"/>
    <w:rsid w:val="003872A8"/>
    <w:rsid w:val="00387878"/>
    <w:rsid w:val="00387A48"/>
    <w:rsid w:val="00387B4F"/>
    <w:rsid w:val="0039002F"/>
    <w:rsid w:val="00390629"/>
    <w:rsid w:val="003907BC"/>
    <w:rsid w:val="00390894"/>
    <w:rsid w:val="003909BF"/>
    <w:rsid w:val="00390DF1"/>
    <w:rsid w:val="0039113F"/>
    <w:rsid w:val="0039121C"/>
    <w:rsid w:val="003913E1"/>
    <w:rsid w:val="00391459"/>
    <w:rsid w:val="00391652"/>
    <w:rsid w:val="003917A2"/>
    <w:rsid w:val="0039189B"/>
    <w:rsid w:val="00391B36"/>
    <w:rsid w:val="00391B84"/>
    <w:rsid w:val="00391D42"/>
    <w:rsid w:val="00391D71"/>
    <w:rsid w:val="0039227E"/>
    <w:rsid w:val="00392772"/>
    <w:rsid w:val="00392A4F"/>
    <w:rsid w:val="00393604"/>
    <w:rsid w:val="0039386E"/>
    <w:rsid w:val="00393A80"/>
    <w:rsid w:val="00393C67"/>
    <w:rsid w:val="00393E1A"/>
    <w:rsid w:val="00393F9A"/>
    <w:rsid w:val="0039443B"/>
    <w:rsid w:val="003947F2"/>
    <w:rsid w:val="003948C7"/>
    <w:rsid w:val="003949D0"/>
    <w:rsid w:val="00394B3D"/>
    <w:rsid w:val="0039507F"/>
    <w:rsid w:val="003952F1"/>
    <w:rsid w:val="00395384"/>
    <w:rsid w:val="0039547D"/>
    <w:rsid w:val="00395814"/>
    <w:rsid w:val="003959A4"/>
    <w:rsid w:val="00395A6D"/>
    <w:rsid w:val="00395B1A"/>
    <w:rsid w:val="00395CC7"/>
    <w:rsid w:val="00395D54"/>
    <w:rsid w:val="00395DB5"/>
    <w:rsid w:val="00395DCD"/>
    <w:rsid w:val="00395FD3"/>
    <w:rsid w:val="0039625A"/>
    <w:rsid w:val="00396526"/>
    <w:rsid w:val="003968A0"/>
    <w:rsid w:val="003968B1"/>
    <w:rsid w:val="00396926"/>
    <w:rsid w:val="00396CB8"/>
    <w:rsid w:val="003971FA"/>
    <w:rsid w:val="00397254"/>
    <w:rsid w:val="003974AF"/>
    <w:rsid w:val="003974B4"/>
    <w:rsid w:val="0039765E"/>
    <w:rsid w:val="00397763"/>
    <w:rsid w:val="003977A9"/>
    <w:rsid w:val="00397B2D"/>
    <w:rsid w:val="00397E0B"/>
    <w:rsid w:val="003A00C0"/>
    <w:rsid w:val="003A01AB"/>
    <w:rsid w:val="003A0E11"/>
    <w:rsid w:val="003A0E5A"/>
    <w:rsid w:val="003A1032"/>
    <w:rsid w:val="003A1260"/>
    <w:rsid w:val="003A1335"/>
    <w:rsid w:val="003A1E50"/>
    <w:rsid w:val="003A1FFB"/>
    <w:rsid w:val="003A2011"/>
    <w:rsid w:val="003A203B"/>
    <w:rsid w:val="003A2171"/>
    <w:rsid w:val="003A295F"/>
    <w:rsid w:val="003A3147"/>
    <w:rsid w:val="003A31D9"/>
    <w:rsid w:val="003A34DA"/>
    <w:rsid w:val="003A373F"/>
    <w:rsid w:val="003A3B54"/>
    <w:rsid w:val="003A3C45"/>
    <w:rsid w:val="003A41DD"/>
    <w:rsid w:val="003A45F9"/>
    <w:rsid w:val="003A4A12"/>
    <w:rsid w:val="003A4CD6"/>
    <w:rsid w:val="003A4CD7"/>
    <w:rsid w:val="003A4E99"/>
    <w:rsid w:val="003A4F0B"/>
    <w:rsid w:val="003A56A0"/>
    <w:rsid w:val="003A5983"/>
    <w:rsid w:val="003A5DFD"/>
    <w:rsid w:val="003A5E2E"/>
    <w:rsid w:val="003A5FFE"/>
    <w:rsid w:val="003A6143"/>
    <w:rsid w:val="003A65E5"/>
    <w:rsid w:val="003A6809"/>
    <w:rsid w:val="003A6BEB"/>
    <w:rsid w:val="003A6C46"/>
    <w:rsid w:val="003A7033"/>
    <w:rsid w:val="003A715F"/>
    <w:rsid w:val="003A7713"/>
    <w:rsid w:val="003A7942"/>
    <w:rsid w:val="003A7ADB"/>
    <w:rsid w:val="003A7D9C"/>
    <w:rsid w:val="003A7E59"/>
    <w:rsid w:val="003B0232"/>
    <w:rsid w:val="003B0257"/>
    <w:rsid w:val="003B09D7"/>
    <w:rsid w:val="003B0C67"/>
    <w:rsid w:val="003B107E"/>
    <w:rsid w:val="003B10AC"/>
    <w:rsid w:val="003B16D6"/>
    <w:rsid w:val="003B174D"/>
    <w:rsid w:val="003B1764"/>
    <w:rsid w:val="003B230F"/>
    <w:rsid w:val="003B2381"/>
    <w:rsid w:val="003B2662"/>
    <w:rsid w:val="003B2AC4"/>
    <w:rsid w:val="003B2D29"/>
    <w:rsid w:val="003B2E18"/>
    <w:rsid w:val="003B2EAB"/>
    <w:rsid w:val="003B30DB"/>
    <w:rsid w:val="003B34C8"/>
    <w:rsid w:val="003B41F0"/>
    <w:rsid w:val="003B427C"/>
    <w:rsid w:val="003B44BD"/>
    <w:rsid w:val="003B47FE"/>
    <w:rsid w:val="003B4BC7"/>
    <w:rsid w:val="003B4DA1"/>
    <w:rsid w:val="003B517C"/>
    <w:rsid w:val="003B5192"/>
    <w:rsid w:val="003B5542"/>
    <w:rsid w:val="003B5624"/>
    <w:rsid w:val="003B5638"/>
    <w:rsid w:val="003B5673"/>
    <w:rsid w:val="003B57E1"/>
    <w:rsid w:val="003B58B5"/>
    <w:rsid w:val="003B5DB1"/>
    <w:rsid w:val="003B6276"/>
    <w:rsid w:val="003B6287"/>
    <w:rsid w:val="003B62C9"/>
    <w:rsid w:val="003B6B57"/>
    <w:rsid w:val="003B6BE9"/>
    <w:rsid w:val="003B7645"/>
    <w:rsid w:val="003B78BC"/>
    <w:rsid w:val="003B7FE4"/>
    <w:rsid w:val="003C01F9"/>
    <w:rsid w:val="003C07FD"/>
    <w:rsid w:val="003C0D92"/>
    <w:rsid w:val="003C1122"/>
    <w:rsid w:val="003C1618"/>
    <w:rsid w:val="003C1EA2"/>
    <w:rsid w:val="003C21F5"/>
    <w:rsid w:val="003C24A8"/>
    <w:rsid w:val="003C25E8"/>
    <w:rsid w:val="003C2AB5"/>
    <w:rsid w:val="003C2CB7"/>
    <w:rsid w:val="003C2DF6"/>
    <w:rsid w:val="003C2F4B"/>
    <w:rsid w:val="003C3685"/>
    <w:rsid w:val="003C39CE"/>
    <w:rsid w:val="003C3B42"/>
    <w:rsid w:val="003C3FD0"/>
    <w:rsid w:val="003C46A5"/>
    <w:rsid w:val="003C4C1E"/>
    <w:rsid w:val="003C4C47"/>
    <w:rsid w:val="003C4E53"/>
    <w:rsid w:val="003C5135"/>
    <w:rsid w:val="003C51F7"/>
    <w:rsid w:val="003C5778"/>
    <w:rsid w:val="003C58EA"/>
    <w:rsid w:val="003C5B9F"/>
    <w:rsid w:val="003C5C6C"/>
    <w:rsid w:val="003C5D10"/>
    <w:rsid w:val="003C5E30"/>
    <w:rsid w:val="003C6379"/>
    <w:rsid w:val="003C6B8B"/>
    <w:rsid w:val="003C6D96"/>
    <w:rsid w:val="003C6FB4"/>
    <w:rsid w:val="003C7176"/>
    <w:rsid w:val="003C72E9"/>
    <w:rsid w:val="003C743D"/>
    <w:rsid w:val="003C7486"/>
    <w:rsid w:val="003C77B4"/>
    <w:rsid w:val="003C7D86"/>
    <w:rsid w:val="003D04C4"/>
    <w:rsid w:val="003D07B3"/>
    <w:rsid w:val="003D0929"/>
    <w:rsid w:val="003D0CEE"/>
    <w:rsid w:val="003D0F64"/>
    <w:rsid w:val="003D0FBE"/>
    <w:rsid w:val="003D104A"/>
    <w:rsid w:val="003D140A"/>
    <w:rsid w:val="003D15A4"/>
    <w:rsid w:val="003D1944"/>
    <w:rsid w:val="003D1A77"/>
    <w:rsid w:val="003D1C3D"/>
    <w:rsid w:val="003D1C42"/>
    <w:rsid w:val="003D1EBD"/>
    <w:rsid w:val="003D215C"/>
    <w:rsid w:val="003D25F6"/>
    <w:rsid w:val="003D28FD"/>
    <w:rsid w:val="003D2A1C"/>
    <w:rsid w:val="003D2B33"/>
    <w:rsid w:val="003D308F"/>
    <w:rsid w:val="003D31FD"/>
    <w:rsid w:val="003D3426"/>
    <w:rsid w:val="003D3AF4"/>
    <w:rsid w:val="003D3CC8"/>
    <w:rsid w:val="003D4717"/>
    <w:rsid w:val="003D4729"/>
    <w:rsid w:val="003D472D"/>
    <w:rsid w:val="003D4A96"/>
    <w:rsid w:val="003D5174"/>
    <w:rsid w:val="003D560F"/>
    <w:rsid w:val="003D56A6"/>
    <w:rsid w:val="003D5720"/>
    <w:rsid w:val="003D5AF9"/>
    <w:rsid w:val="003D5EE3"/>
    <w:rsid w:val="003D60BF"/>
    <w:rsid w:val="003D61F9"/>
    <w:rsid w:val="003D652B"/>
    <w:rsid w:val="003D679F"/>
    <w:rsid w:val="003D6C5C"/>
    <w:rsid w:val="003D6D6E"/>
    <w:rsid w:val="003D6D8D"/>
    <w:rsid w:val="003D6E00"/>
    <w:rsid w:val="003D6E22"/>
    <w:rsid w:val="003D7712"/>
    <w:rsid w:val="003D78E9"/>
    <w:rsid w:val="003D7974"/>
    <w:rsid w:val="003D7CC7"/>
    <w:rsid w:val="003D7DD6"/>
    <w:rsid w:val="003E0CD6"/>
    <w:rsid w:val="003E0F5C"/>
    <w:rsid w:val="003E101C"/>
    <w:rsid w:val="003E1077"/>
    <w:rsid w:val="003E138A"/>
    <w:rsid w:val="003E1417"/>
    <w:rsid w:val="003E14A6"/>
    <w:rsid w:val="003E1934"/>
    <w:rsid w:val="003E19AC"/>
    <w:rsid w:val="003E19CE"/>
    <w:rsid w:val="003E1AE6"/>
    <w:rsid w:val="003E1BDB"/>
    <w:rsid w:val="003E1EC1"/>
    <w:rsid w:val="003E1F08"/>
    <w:rsid w:val="003E24B4"/>
    <w:rsid w:val="003E2609"/>
    <w:rsid w:val="003E2ADC"/>
    <w:rsid w:val="003E2F26"/>
    <w:rsid w:val="003E3121"/>
    <w:rsid w:val="003E3946"/>
    <w:rsid w:val="003E39EA"/>
    <w:rsid w:val="003E3ACF"/>
    <w:rsid w:val="003E3DB5"/>
    <w:rsid w:val="003E3E71"/>
    <w:rsid w:val="003E4041"/>
    <w:rsid w:val="003E4657"/>
    <w:rsid w:val="003E4713"/>
    <w:rsid w:val="003E4CDE"/>
    <w:rsid w:val="003E517F"/>
    <w:rsid w:val="003E51F0"/>
    <w:rsid w:val="003E542A"/>
    <w:rsid w:val="003E5A97"/>
    <w:rsid w:val="003E5AAF"/>
    <w:rsid w:val="003E5DCA"/>
    <w:rsid w:val="003E600D"/>
    <w:rsid w:val="003E62E1"/>
    <w:rsid w:val="003E634E"/>
    <w:rsid w:val="003E64DF"/>
    <w:rsid w:val="003E65EE"/>
    <w:rsid w:val="003E672D"/>
    <w:rsid w:val="003E6871"/>
    <w:rsid w:val="003E689C"/>
    <w:rsid w:val="003E6906"/>
    <w:rsid w:val="003E6A2C"/>
    <w:rsid w:val="003E6A5D"/>
    <w:rsid w:val="003E6B00"/>
    <w:rsid w:val="003E6BAE"/>
    <w:rsid w:val="003E6C55"/>
    <w:rsid w:val="003E6D04"/>
    <w:rsid w:val="003E6F67"/>
    <w:rsid w:val="003E741E"/>
    <w:rsid w:val="003F01AB"/>
    <w:rsid w:val="003F0823"/>
    <w:rsid w:val="003F08F5"/>
    <w:rsid w:val="003F0924"/>
    <w:rsid w:val="003F0AAE"/>
    <w:rsid w:val="003F0AC2"/>
    <w:rsid w:val="003F0CD8"/>
    <w:rsid w:val="003F0D2D"/>
    <w:rsid w:val="003F0DE0"/>
    <w:rsid w:val="003F10E1"/>
    <w:rsid w:val="003F11FF"/>
    <w:rsid w:val="003F136D"/>
    <w:rsid w:val="003F13B8"/>
    <w:rsid w:val="003F13DF"/>
    <w:rsid w:val="003F168D"/>
    <w:rsid w:val="003F16A1"/>
    <w:rsid w:val="003F1741"/>
    <w:rsid w:val="003F1845"/>
    <w:rsid w:val="003F193A"/>
    <w:rsid w:val="003F1FF9"/>
    <w:rsid w:val="003F231A"/>
    <w:rsid w:val="003F25B6"/>
    <w:rsid w:val="003F2ABD"/>
    <w:rsid w:val="003F2B73"/>
    <w:rsid w:val="003F2C80"/>
    <w:rsid w:val="003F2C90"/>
    <w:rsid w:val="003F3032"/>
    <w:rsid w:val="003F3730"/>
    <w:rsid w:val="003F39C3"/>
    <w:rsid w:val="003F3CF6"/>
    <w:rsid w:val="003F3ED1"/>
    <w:rsid w:val="003F4207"/>
    <w:rsid w:val="003F4393"/>
    <w:rsid w:val="003F478E"/>
    <w:rsid w:val="003F4C1E"/>
    <w:rsid w:val="003F4ECD"/>
    <w:rsid w:val="003F5382"/>
    <w:rsid w:val="003F5390"/>
    <w:rsid w:val="003F5793"/>
    <w:rsid w:val="003F58A1"/>
    <w:rsid w:val="003F5C24"/>
    <w:rsid w:val="003F5C46"/>
    <w:rsid w:val="003F649C"/>
    <w:rsid w:val="003F65EE"/>
    <w:rsid w:val="003F6E8A"/>
    <w:rsid w:val="003F72F0"/>
    <w:rsid w:val="003F73D4"/>
    <w:rsid w:val="003F7501"/>
    <w:rsid w:val="003F755B"/>
    <w:rsid w:val="003F76F4"/>
    <w:rsid w:val="003F77C5"/>
    <w:rsid w:val="003F7CBB"/>
    <w:rsid w:val="003F7D34"/>
    <w:rsid w:val="004001BC"/>
    <w:rsid w:val="004007E7"/>
    <w:rsid w:val="0040088F"/>
    <w:rsid w:val="0040091C"/>
    <w:rsid w:val="004009B3"/>
    <w:rsid w:val="0040117D"/>
    <w:rsid w:val="00401287"/>
    <w:rsid w:val="00401707"/>
    <w:rsid w:val="00401C24"/>
    <w:rsid w:val="00401D50"/>
    <w:rsid w:val="00401E2C"/>
    <w:rsid w:val="00401EFC"/>
    <w:rsid w:val="00402739"/>
    <w:rsid w:val="0040290B"/>
    <w:rsid w:val="00402DD5"/>
    <w:rsid w:val="00402DF8"/>
    <w:rsid w:val="00402FFB"/>
    <w:rsid w:val="0040318A"/>
    <w:rsid w:val="004031B8"/>
    <w:rsid w:val="004038F5"/>
    <w:rsid w:val="00404049"/>
    <w:rsid w:val="004040E1"/>
    <w:rsid w:val="00404B67"/>
    <w:rsid w:val="00404CEF"/>
    <w:rsid w:val="00404D06"/>
    <w:rsid w:val="00404ED3"/>
    <w:rsid w:val="004051F6"/>
    <w:rsid w:val="004052D3"/>
    <w:rsid w:val="00405469"/>
    <w:rsid w:val="00405716"/>
    <w:rsid w:val="0040574D"/>
    <w:rsid w:val="004058E5"/>
    <w:rsid w:val="004058F9"/>
    <w:rsid w:val="00405B1F"/>
    <w:rsid w:val="00405BC5"/>
    <w:rsid w:val="00406170"/>
    <w:rsid w:val="004066B0"/>
    <w:rsid w:val="004069E0"/>
    <w:rsid w:val="00406F68"/>
    <w:rsid w:val="0040720A"/>
    <w:rsid w:val="00407351"/>
    <w:rsid w:val="004074BD"/>
    <w:rsid w:val="00407A37"/>
    <w:rsid w:val="00410326"/>
    <w:rsid w:val="004106C2"/>
    <w:rsid w:val="004108AF"/>
    <w:rsid w:val="00410BFF"/>
    <w:rsid w:val="00410D13"/>
    <w:rsid w:val="0041139E"/>
    <w:rsid w:val="0041144A"/>
    <w:rsid w:val="004115F1"/>
    <w:rsid w:val="00411777"/>
    <w:rsid w:val="00411AB6"/>
    <w:rsid w:val="00411AC3"/>
    <w:rsid w:val="00411D25"/>
    <w:rsid w:val="00411E80"/>
    <w:rsid w:val="00412129"/>
    <w:rsid w:val="00412323"/>
    <w:rsid w:val="00412461"/>
    <w:rsid w:val="004124FB"/>
    <w:rsid w:val="00412514"/>
    <w:rsid w:val="0041285E"/>
    <w:rsid w:val="00412B71"/>
    <w:rsid w:val="00412C8E"/>
    <w:rsid w:val="00412C94"/>
    <w:rsid w:val="00412FA5"/>
    <w:rsid w:val="004133C8"/>
    <w:rsid w:val="004135B5"/>
    <w:rsid w:val="004135B7"/>
    <w:rsid w:val="004138F5"/>
    <w:rsid w:val="00413B80"/>
    <w:rsid w:val="00413B9E"/>
    <w:rsid w:val="00413CE0"/>
    <w:rsid w:val="00414341"/>
    <w:rsid w:val="00414779"/>
    <w:rsid w:val="004148B9"/>
    <w:rsid w:val="0041499F"/>
    <w:rsid w:val="00414BFE"/>
    <w:rsid w:val="00414D20"/>
    <w:rsid w:val="00414F70"/>
    <w:rsid w:val="0041518D"/>
    <w:rsid w:val="00415AA2"/>
    <w:rsid w:val="00415B1F"/>
    <w:rsid w:val="00415F32"/>
    <w:rsid w:val="004164E3"/>
    <w:rsid w:val="00416ACA"/>
    <w:rsid w:val="00416E96"/>
    <w:rsid w:val="00417003"/>
    <w:rsid w:val="00417145"/>
    <w:rsid w:val="00417894"/>
    <w:rsid w:val="00417E3E"/>
    <w:rsid w:val="00420027"/>
    <w:rsid w:val="004209D8"/>
    <w:rsid w:val="00420AAD"/>
    <w:rsid w:val="00420CD0"/>
    <w:rsid w:val="00420E6D"/>
    <w:rsid w:val="00421218"/>
    <w:rsid w:val="0042123B"/>
    <w:rsid w:val="0042130D"/>
    <w:rsid w:val="0042149F"/>
    <w:rsid w:val="00421820"/>
    <w:rsid w:val="00421949"/>
    <w:rsid w:val="00421BC4"/>
    <w:rsid w:val="00421E2E"/>
    <w:rsid w:val="0042221D"/>
    <w:rsid w:val="004226B8"/>
    <w:rsid w:val="004227C4"/>
    <w:rsid w:val="00422919"/>
    <w:rsid w:val="00422B9D"/>
    <w:rsid w:val="00422BD6"/>
    <w:rsid w:val="00423179"/>
    <w:rsid w:val="0042341D"/>
    <w:rsid w:val="0042365A"/>
    <w:rsid w:val="0042372A"/>
    <w:rsid w:val="00423D50"/>
    <w:rsid w:val="00423D65"/>
    <w:rsid w:val="00423E6C"/>
    <w:rsid w:val="004241C7"/>
    <w:rsid w:val="0042427A"/>
    <w:rsid w:val="0042461F"/>
    <w:rsid w:val="0042465A"/>
    <w:rsid w:val="00424C5C"/>
    <w:rsid w:val="00424DD3"/>
    <w:rsid w:val="00424F48"/>
    <w:rsid w:val="00425142"/>
    <w:rsid w:val="0042555C"/>
    <w:rsid w:val="00425A10"/>
    <w:rsid w:val="00425A5C"/>
    <w:rsid w:val="00425F2B"/>
    <w:rsid w:val="004261D5"/>
    <w:rsid w:val="00426313"/>
    <w:rsid w:val="0042632E"/>
    <w:rsid w:val="004263A2"/>
    <w:rsid w:val="004265CE"/>
    <w:rsid w:val="004269C5"/>
    <w:rsid w:val="00427228"/>
    <w:rsid w:val="0042775B"/>
    <w:rsid w:val="00427984"/>
    <w:rsid w:val="00427C28"/>
    <w:rsid w:val="00427C4C"/>
    <w:rsid w:val="00427D1F"/>
    <w:rsid w:val="00427D8B"/>
    <w:rsid w:val="00427F5C"/>
    <w:rsid w:val="0043030E"/>
    <w:rsid w:val="0043036B"/>
    <w:rsid w:val="00430CC0"/>
    <w:rsid w:val="00431437"/>
    <w:rsid w:val="00431700"/>
    <w:rsid w:val="0043205D"/>
    <w:rsid w:val="00432190"/>
    <w:rsid w:val="004321B7"/>
    <w:rsid w:val="0043238A"/>
    <w:rsid w:val="004323FF"/>
    <w:rsid w:val="00432417"/>
    <w:rsid w:val="004326C5"/>
    <w:rsid w:val="004328DB"/>
    <w:rsid w:val="004329BA"/>
    <w:rsid w:val="00432AF0"/>
    <w:rsid w:val="00432C90"/>
    <w:rsid w:val="00432D36"/>
    <w:rsid w:val="00432E04"/>
    <w:rsid w:val="004334EA"/>
    <w:rsid w:val="004335D7"/>
    <w:rsid w:val="0043363D"/>
    <w:rsid w:val="0043389E"/>
    <w:rsid w:val="00433AA9"/>
    <w:rsid w:val="00433CE3"/>
    <w:rsid w:val="004344EC"/>
    <w:rsid w:val="0043469D"/>
    <w:rsid w:val="0043484F"/>
    <w:rsid w:val="00434868"/>
    <w:rsid w:val="004348FA"/>
    <w:rsid w:val="00434B93"/>
    <w:rsid w:val="00434BA5"/>
    <w:rsid w:val="00434D84"/>
    <w:rsid w:val="00434F29"/>
    <w:rsid w:val="00434FB4"/>
    <w:rsid w:val="00434FE8"/>
    <w:rsid w:val="004352CC"/>
    <w:rsid w:val="004357BA"/>
    <w:rsid w:val="00435939"/>
    <w:rsid w:val="004359A4"/>
    <w:rsid w:val="004359F7"/>
    <w:rsid w:val="00435E52"/>
    <w:rsid w:val="00435EDC"/>
    <w:rsid w:val="004361E2"/>
    <w:rsid w:val="004363C3"/>
    <w:rsid w:val="0043652C"/>
    <w:rsid w:val="00436BF2"/>
    <w:rsid w:val="00436C0B"/>
    <w:rsid w:val="00436D26"/>
    <w:rsid w:val="004371ED"/>
    <w:rsid w:val="00437357"/>
    <w:rsid w:val="004374E2"/>
    <w:rsid w:val="00437501"/>
    <w:rsid w:val="00437962"/>
    <w:rsid w:val="00437ADB"/>
    <w:rsid w:val="00437B09"/>
    <w:rsid w:val="00437CC7"/>
    <w:rsid w:val="00437D0F"/>
    <w:rsid w:val="00437E52"/>
    <w:rsid w:val="00440068"/>
    <w:rsid w:val="00440664"/>
    <w:rsid w:val="00440746"/>
    <w:rsid w:val="0044084C"/>
    <w:rsid w:val="00440A7E"/>
    <w:rsid w:val="00440F05"/>
    <w:rsid w:val="004412A8"/>
    <w:rsid w:val="00441658"/>
    <w:rsid w:val="00441C0D"/>
    <w:rsid w:val="00441CE2"/>
    <w:rsid w:val="00441DF0"/>
    <w:rsid w:val="00441FBD"/>
    <w:rsid w:val="004422B1"/>
    <w:rsid w:val="004425B8"/>
    <w:rsid w:val="0044267F"/>
    <w:rsid w:val="00442B9C"/>
    <w:rsid w:val="00442BFF"/>
    <w:rsid w:val="00442D25"/>
    <w:rsid w:val="00442DE0"/>
    <w:rsid w:val="00442FC1"/>
    <w:rsid w:val="004433A3"/>
    <w:rsid w:val="00443567"/>
    <w:rsid w:val="004437C1"/>
    <w:rsid w:val="00443905"/>
    <w:rsid w:val="00443B65"/>
    <w:rsid w:val="00443C02"/>
    <w:rsid w:val="00443E91"/>
    <w:rsid w:val="00444327"/>
    <w:rsid w:val="00444341"/>
    <w:rsid w:val="0044452A"/>
    <w:rsid w:val="0044488E"/>
    <w:rsid w:val="004448EF"/>
    <w:rsid w:val="00444A86"/>
    <w:rsid w:val="00444FBB"/>
    <w:rsid w:val="00445A46"/>
    <w:rsid w:val="00445AC5"/>
    <w:rsid w:val="00445D0B"/>
    <w:rsid w:val="00445D34"/>
    <w:rsid w:val="00445EFA"/>
    <w:rsid w:val="00446098"/>
    <w:rsid w:val="0044611B"/>
    <w:rsid w:val="00446121"/>
    <w:rsid w:val="0044631C"/>
    <w:rsid w:val="00446800"/>
    <w:rsid w:val="00446E1E"/>
    <w:rsid w:val="00446EF2"/>
    <w:rsid w:val="00447191"/>
    <w:rsid w:val="0044735B"/>
    <w:rsid w:val="0044738A"/>
    <w:rsid w:val="004473D3"/>
    <w:rsid w:val="00447B04"/>
    <w:rsid w:val="00447E80"/>
    <w:rsid w:val="0045034B"/>
    <w:rsid w:val="00450362"/>
    <w:rsid w:val="00450852"/>
    <w:rsid w:val="00450E38"/>
    <w:rsid w:val="004512A3"/>
    <w:rsid w:val="00451A22"/>
    <w:rsid w:val="00451D86"/>
    <w:rsid w:val="00452106"/>
    <w:rsid w:val="00452231"/>
    <w:rsid w:val="00452405"/>
    <w:rsid w:val="00452764"/>
    <w:rsid w:val="004527BE"/>
    <w:rsid w:val="004528F0"/>
    <w:rsid w:val="00452EC2"/>
    <w:rsid w:val="004538C2"/>
    <w:rsid w:val="004539FD"/>
    <w:rsid w:val="00453A10"/>
    <w:rsid w:val="00453BC4"/>
    <w:rsid w:val="00453D46"/>
    <w:rsid w:val="00453E6F"/>
    <w:rsid w:val="00454BC7"/>
    <w:rsid w:val="00454DAD"/>
    <w:rsid w:val="00455368"/>
    <w:rsid w:val="00455814"/>
    <w:rsid w:val="00455C1A"/>
    <w:rsid w:val="00455ED0"/>
    <w:rsid w:val="0045681F"/>
    <w:rsid w:val="00456CB5"/>
    <w:rsid w:val="00456F20"/>
    <w:rsid w:val="004571E8"/>
    <w:rsid w:val="00457270"/>
    <w:rsid w:val="00457853"/>
    <w:rsid w:val="0045796B"/>
    <w:rsid w:val="00457A7A"/>
    <w:rsid w:val="00457B0A"/>
    <w:rsid w:val="00457B7C"/>
    <w:rsid w:val="00457D43"/>
    <w:rsid w:val="00457E34"/>
    <w:rsid w:val="004600FA"/>
    <w:rsid w:val="00460BE4"/>
    <w:rsid w:val="00460C13"/>
    <w:rsid w:val="00460EBD"/>
    <w:rsid w:val="0046181A"/>
    <w:rsid w:val="004618CF"/>
    <w:rsid w:val="00461C4C"/>
    <w:rsid w:val="0046247A"/>
    <w:rsid w:val="00462C62"/>
    <w:rsid w:val="004631C2"/>
    <w:rsid w:val="00463228"/>
    <w:rsid w:val="004636C9"/>
    <w:rsid w:val="00463782"/>
    <w:rsid w:val="00463A58"/>
    <w:rsid w:val="00464685"/>
    <w:rsid w:val="00464CD1"/>
    <w:rsid w:val="00464EDA"/>
    <w:rsid w:val="004651DE"/>
    <w:rsid w:val="0046573E"/>
    <w:rsid w:val="004658F0"/>
    <w:rsid w:val="00465B5B"/>
    <w:rsid w:val="00465EFB"/>
    <w:rsid w:val="004667E0"/>
    <w:rsid w:val="00466810"/>
    <w:rsid w:val="00466D0F"/>
    <w:rsid w:val="00466D94"/>
    <w:rsid w:val="0046736B"/>
    <w:rsid w:val="0046760E"/>
    <w:rsid w:val="00467E7F"/>
    <w:rsid w:val="00470322"/>
    <w:rsid w:val="0047045D"/>
    <w:rsid w:val="0047087A"/>
    <w:rsid w:val="00470D52"/>
    <w:rsid w:val="00470E10"/>
    <w:rsid w:val="00470EEE"/>
    <w:rsid w:val="0047120D"/>
    <w:rsid w:val="00471306"/>
    <w:rsid w:val="004714B3"/>
    <w:rsid w:val="00471FA8"/>
    <w:rsid w:val="0047217E"/>
    <w:rsid w:val="004728B1"/>
    <w:rsid w:val="00472B8F"/>
    <w:rsid w:val="00473423"/>
    <w:rsid w:val="00473541"/>
    <w:rsid w:val="00473732"/>
    <w:rsid w:val="0047393B"/>
    <w:rsid w:val="00473CC2"/>
    <w:rsid w:val="00473D0F"/>
    <w:rsid w:val="00473F25"/>
    <w:rsid w:val="004744C0"/>
    <w:rsid w:val="00474C3C"/>
    <w:rsid w:val="00474E00"/>
    <w:rsid w:val="00474F73"/>
    <w:rsid w:val="00474FB9"/>
    <w:rsid w:val="00475410"/>
    <w:rsid w:val="00475CFB"/>
    <w:rsid w:val="00475D21"/>
    <w:rsid w:val="004761E8"/>
    <w:rsid w:val="00476255"/>
    <w:rsid w:val="00476A04"/>
    <w:rsid w:val="00476AE5"/>
    <w:rsid w:val="00476BE6"/>
    <w:rsid w:val="00476D3C"/>
    <w:rsid w:val="00477191"/>
    <w:rsid w:val="004775D7"/>
    <w:rsid w:val="00477A97"/>
    <w:rsid w:val="00477B72"/>
    <w:rsid w:val="00477E33"/>
    <w:rsid w:val="00477ECB"/>
    <w:rsid w:val="00480176"/>
    <w:rsid w:val="0048018A"/>
    <w:rsid w:val="00480211"/>
    <w:rsid w:val="0048043C"/>
    <w:rsid w:val="0048076A"/>
    <w:rsid w:val="004807CB"/>
    <w:rsid w:val="004808D5"/>
    <w:rsid w:val="004809B3"/>
    <w:rsid w:val="00480E4B"/>
    <w:rsid w:val="00480E98"/>
    <w:rsid w:val="00481343"/>
    <w:rsid w:val="00481694"/>
    <w:rsid w:val="00481810"/>
    <w:rsid w:val="004818D4"/>
    <w:rsid w:val="00481973"/>
    <w:rsid w:val="00481C4F"/>
    <w:rsid w:val="00482059"/>
    <w:rsid w:val="004826DB"/>
    <w:rsid w:val="00482952"/>
    <w:rsid w:val="00482A17"/>
    <w:rsid w:val="0048323A"/>
    <w:rsid w:val="0048378B"/>
    <w:rsid w:val="00483E56"/>
    <w:rsid w:val="004844C2"/>
    <w:rsid w:val="0048460C"/>
    <w:rsid w:val="00484A15"/>
    <w:rsid w:val="00484C15"/>
    <w:rsid w:val="00484C6F"/>
    <w:rsid w:val="004850B1"/>
    <w:rsid w:val="0048549E"/>
    <w:rsid w:val="0048552F"/>
    <w:rsid w:val="00485612"/>
    <w:rsid w:val="004856C4"/>
    <w:rsid w:val="00485A40"/>
    <w:rsid w:val="00485CEF"/>
    <w:rsid w:val="00485E8F"/>
    <w:rsid w:val="00486481"/>
    <w:rsid w:val="00486E74"/>
    <w:rsid w:val="00486ECB"/>
    <w:rsid w:val="00487424"/>
    <w:rsid w:val="00487BA1"/>
    <w:rsid w:val="00487C95"/>
    <w:rsid w:val="00490262"/>
    <w:rsid w:val="004903A5"/>
    <w:rsid w:val="004905EB"/>
    <w:rsid w:val="0049070C"/>
    <w:rsid w:val="00490849"/>
    <w:rsid w:val="0049097D"/>
    <w:rsid w:val="00490AA4"/>
    <w:rsid w:val="00490F49"/>
    <w:rsid w:val="004910A6"/>
    <w:rsid w:val="004912EC"/>
    <w:rsid w:val="004917B5"/>
    <w:rsid w:val="00491879"/>
    <w:rsid w:val="00491B8A"/>
    <w:rsid w:val="00491DB8"/>
    <w:rsid w:val="00491E3C"/>
    <w:rsid w:val="00491FEB"/>
    <w:rsid w:val="00492937"/>
    <w:rsid w:val="004929F0"/>
    <w:rsid w:val="00492CDB"/>
    <w:rsid w:val="00492E1C"/>
    <w:rsid w:val="004930C6"/>
    <w:rsid w:val="004930F5"/>
    <w:rsid w:val="00493347"/>
    <w:rsid w:val="00493727"/>
    <w:rsid w:val="0049374B"/>
    <w:rsid w:val="00493DC6"/>
    <w:rsid w:val="00493E03"/>
    <w:rsid w:val="00493F08"/>
    <w:rsid w:val="00494079"/>
    <w:rsid w:val="0049454B"/>
    <w:rsid w:val="00494A47"/>
    <w:rsid w:val="00494ABA"/>
    <w:rsid w:val="00494C4F"/>
    <w:rsid w:val="00494DCE"/>
    <w:rsid w:val="00495278"/>
    <w:rsid w:val="004954EC"/>
    <w:rsid w:val="0049553B"/>
    <w:rsid w:val="004959BE"/>
    <w:rsid w:val="00495AA5"/>
    <w:rsid w:val="00495C10"/>
    <w:rsid w:val="00495C28"/>
    <w:rsid w:val="00495CE5"/>
    <w:rsid w:val="00496092"/>
    <w:rsid w:val="00496406"/>
    <w:rsid w:val="0049651B"/>
    <w:rsid w:val="00496B00"/>
    <w:rsid w:val="00496F1E"/>
    <w:rsid w:val="004971D3"/>
    <w:rsid w:val="00497586"/>
    <w:rsid w:val="004977E0"/>
    <w:rsid w:val="00497A96"/>
    <w:rsid w:val="00497DA5"/>
    <w:rsid w:val="004A0470"/>
    <w:rsid w:val="004A08A3"/>
    <w:rsid w:val="004A08DB"/>
    <w:rsid w:val="004A099D"/>
    <w:rsid w:val="004A0E17"/>
    <w:rsid w:val="004A0EDD"/>
    <w:rsid w:val="004A11E2"/>
    <w:rsid w:val="004A1664"/>
    <w:rsid w:val="004A19BB"/>
    <w:rsid w:val="004A1F61"/>
    <w:rsid w:val="004A1FC8"/>
    <w:rsid w:val="004A218C"/>
    <w:rsid w:val="004A2244"/>
    <w:rsid w:val="004A242E"/>
    <w:rsid w:val="004A25D0"/>
    <w:rsid w:val="004A327C"/>
    <w:rsid w:val="004A3375"/>
    <w:rsid w:val="004A355A"/>
    <w:rsid w:val="004A3710"/>
    <w:rsid w:val="004A373C"/>
    <w:rsid w:val="004A37E8"/>
    <w:rsid w:val="004A3B3D"/>
    <w:rsid w:val="004A3BE6"/>
    <w:rsid w:val="004A3C8A"/>
    <w:rsid w:val="004A42FE"/>
    <w:rsid w:val="004A4547"/>
    <w:rsid w:val="004A476E"/>
    <w:rsid w:val="004A54E3"/>
    <w:rsid w:val="004A5AC9"/>
    <w:rsid w:val="004A5E4F"/>
    <w:rsid w:val="004A60B9"/>
    <w:rsid w:val="004A60D1"/>
    <w:rsid w:val="004A62CF"/>
    <w:rsid w:val="004A647B"/>
    <w:rsid w:val="004A65E2"/>
    <w:rsid w:val="004A6BD0"/>
    <w:rsid w:val="004A6C61"/>
    <w:rsid w:val="004A6D2D"/>
    <w:rsid w:val="004A6EFA"/>
    <w:rsid w:val="004A6F1E"/>
    <w:rsid w:val="004A7081"/>
    <w:rsid w:val="004A7549"/>
    <w:rsid w:val="004A794D"/>
    <w:rsid w:val="004B027D"/>
    <w:rsid w:val="004B0288"/>
    <w:rsid w:val="004B03E1"/>
    <w:rsid w:val="004B07CE"/>
    <w:rsid w:val="004B07D6"/>
    <w:rsid w:val="004B09D4"/>
    <w:rsid w:val="004B0A18"/>
    <w:rsid w:val="004B0FA8"/>
    <w:rsid w:val="004B12C4"/>
    <w:rsid w:val="004B195A"/>
    <w:rsid w:val="004B19C4"/>
    <w:rsid w:val="004B1B04"/>
    <w:rsid w:val="004B1F66"/>
    <w:rsid w:val="004B211C"/>
    <w:rsid w:val="004B2840"/>
    <w:rsid w:val="004B2A04"/>
    <w:rsid w:val="004B2A5F"/>
    <w:rsid w:val="004B2BB6"/>
    <w:rsid w:val="004B2CCF"/>
    <w:rsid w:val="004B3080"/>
    <w:rsid w:val="004B309D"/>
    <w:rsid w:val="004B330A"/>
    <w:rsid w:val="004B3651"/>
    <w:rsid w:val="004B3FD2"/>
    <w:rsid w:val="004B4388"/>
    <w:rsid w:val="004B43D2"/>
    <w:rsid w:val="004B43F9"/>
    <w:rsid w:val="004B471D"/>
    <w:rsid w:val="004B4751"/>
    <w:rsid w:val="004B47C2"/>
    <w:rsid w:val="004B4870"/>
    <w:rsid w:val="004B4DCA"/>
    <w:rsid w:val="004B5479"/>
    <w:rsid w:val="004B5A2F"/>
    <w:rsid w:val="004B5D82"/>
    <w:rsid w:val="004B6683"/>
    <w:rsid w:val="004B6A3D"/>
    <w:rsid w:val="004B6B44"/>
    <w:rsid w:val="004B737D"/>
    <w:rsid w:val="004B7452"/>
    <w:rsid w:val="004B755F"/>
    <w:rsid w:val="004B77A5"/>
    <w:rsid w:val="004B7C8E"/>
    <w:rsid w:val="004C018B"/>
    <w:rsid w:val="004C034D"/>
    <w:rsid w:val="004C05BB"/>
    <w:rsid w:val="004C060F"/>
    <w:rsid w:val="004C0A57"/>
    <w:rsid w:val="004C0CA0"/>
    <w:rsid w:val="004C1087"/>
    <w:rsid w:val="004C125D"/>
    <w:rsid w:val="004C15AD"/>
    <w:rsid w:val="004C17EF"/>
    <w:rsid w:val="004C180E"/>
    <w:rsid w:val="004C1ABE"/>
    <w:rsid w:val="004C1BCF"/>
    <w:rsid w:val="004C2628"/>
    <w:rsid w:val="004C2A23"/>
    <w:rsid w:val="004C2AFD"/>
    <w:rsid w:val="004C2F07"/>
    <w:rsid w:val="004C339F"/>
    <w:rsid w:val="004C3433"/>
    <w:rsid w:val="004C3561"/>
    <w:rsid w:val="004C371A"/>
    <w:rsid w:val="004C3823"/>
    <w:rsid w:val="004C39DF"/>
    <w:rsid w:val="004C3D3C"/>
    <w:rsid w:val="004C3E35"/>
    <w:rsid w:val="004C3EF2"/>
    <w:rsid w:val="004C42E1"/>
    <w:rsid w:val="004C43A3"/>
    <w:rsid w:val="004C44A1"/>
    <w:rsid w:val="004C489F"/>
    <w:rsid w:val="004C4D79"/>
    <w:rsid w:val="004C4F14"/>
    <w:rsid w:val="004C4F50"/>
    <w:rsid w:val="004C54E8"/>
    <w:rsid w:val="004C5A8B"/>
    <w:rsid w:val="004C5B20"/>
    <w:rsid w:val="004C5D51"/>
    <w:rsid w:val="004C612B"/>
    <w:rsid w:val="004C6414"/>
    <w:rsid w:val="004C6BD6"/>
    <w:rsid w:val="004C6FE9"/>
    <w:rsid w:val="004C7004"/>
    <w:rsid w:val="004C7019"/>
    <w:rsid w:val="004C76E7"/>
    <w:rsid w:val="004C78EE"/>
    <w:rsid w:val="004C79BB"/>
    <w:rsid w:val="004C7ED2"/>
    <w:rsid w:val="004D032C"/>
    <w:rsid w:val="004D0712"/>
    <w:rsid w:val="004D071A"/>
    <w:rsid w:val="004D075E"/>
    <w:rsid w:val="004D076F"/>
    <w:rsid w:val="004D07FD"/>
    <w:rsid w:val="004D08BB"/>
    <w:rsid w:val="004D0B6F"/>
    <w:rsid w:val="004D0D76"/>
    <w:rsid w:val="004D0EDC"/>
    <w:rsid w:val="004D120F"/>
    <w:rsid w:val="004D1220"/>
    <w:rsid w:val="004D134E"/>
    <w:rsid w:val="004D136A"/>
    <w:rsid w:val="004D14B3"/>
    <w:rsid w:val="004D1529"/>
    <w:rsid w:val="004D16F3"/>
    <w:rsid w:val="004D1D47"/>
    <w:rsid w:val="004D2253"/>
    <w:rsid w:val="004D28BF"/>
    <w:rsid w:val="004D28FF"/>
    <w:rsid w:val="004D2BE1"/>
    <w:rsid w:val="004D3047"/>
    <w:rsid w:val="004D32C1"/>
    <w:rsid w:val="004D35B3"/>
    <w:rsid w:val="004D3619"/>
    <w:rsid w:val="004D3A89"/>
    <w:rsid w:val="004D3C7C"/>
    <w:rsid w:val="004D3EA6"/>
    <w:rsid w:val="004D44DF"/>
    <w:rsid w:val="004D46B4"/>
    <w:rsid w:val="004D4720"/>
    <w:rsid w:val="004D4D84"/>
    <w:rsid w:val="004D52D2"/>
    <w:rsid w:val="004D5514"/>
    <w:rsid w:val="004D554F"/>
    <w:rsid w:val="004D56C3"/>
    <w:rsid w:val="004D6161"/>
    <w:rsid w:val="004D638E"/>
    <w:rsid w:val="004D64C6"/>
    <w:rsid w:val="004D6820"/>
    <w:rsid w:val="004D690D"/>
    <w:rsid w:val="004D69DF"/>
    <w:rsid w:val="004D700F"/>
    <w:rsid w:val="004D7324"/>
    <w:rsid w:val="004D7374"/>
    <w:rsid w:val="004D7718"/>
    <w:rsid w:val="004D7874"/>
    <w:rsid w:val="004D7BBD"/>
    <w:rsid w:val="004E0338"/>
    <w:rsid w:val="004E062B"/>
    <w:rsid w:val="004E081D"/>
    <w:rsid w:val="004E0889"/>
    <w:rsid w:val="004E0B67"/>
    <w:rsid w:val="004E0C5B"/>
    <w:rsid w:val="004E0F67"/>
    <w:rsid w:val="004E1102"/>
    <w:rsid w:val="004E11C9"/>
    <w:rsid w:val="004E1202"/>
    <w:rsid w:val="004E14F7"/>
    <w:rsid w:val="004E1607"/>
    <w:rsid w:val="004E1769"/>
    <w:rsid w:val="004E17CF"/>
    <w:rsid w:val="004E18FF"/>
    <w:rsid w:val="004E1905"/>
    <w:rsid w:val="004E1A21"/>
    <w:rsid w:val="004E1A9B"/>
    <w:rsid w:val="004E1AE3"/>
    <w:rsid w:val="004E1D25"/>
    <w:rsid w:val="004E1FA9"/>
    <w:rsid w:val="004E21EC"/>
    <w:rsid w:val="004E228E"/>
    <w:rsid w:val="004E22DC"/>
    <w:rsid w:val="004E2303"/>
    <w:rsid w:val="004E263A"/>
    <w:rsid w:val="004E2A1F"/>
    <w:rsid w:val="004E2AD6"/>
    <w:rsid w:val="004E2AD7"/>
    <w:rsid w:val="004E2AE3"/>
    <w:rsid w:val="004E30E7"/>
    <w:rsid w:val="004E31D2"/>
    <w:rsid w:val="004E3268"/>
    <w:rsid w:val="004E348C"/>
    <w:rsid w:val="004E36ED"/>
    <w:rsid w:val="004E389A"/>
    <w:rsid w:val="004E40FF"/>
    <w:rsid w:val="004E4110"/>
    <w:rsid w:val="004E4413"/>
    <w:rsid w:val="004E4418"/>
    <w:rsid w:val="004E4758"/>
    <w:rsid w:val="004E4774"/>
    <w:rsid w:val="004E481C"/>
    <w:rsid w:val="004E4A1D"/>
    <w:rsid w:val="004E4EB8"/>
    <w:rsid w:val="004E4FF3"/>
    <w:rsid w:val="004E51EA"/>
    <w:rsid w:val="004E564C"/>
    <w:rsid w:val="004E56A8"/>
    <w:rsid w:val="004E56DC"/>
    <w:rsid w:val="004E5E55"/>
    <w:rsid w:val="004E6060"/>
    <w:rsid w:val="004E61ED"/>
    <w:rsid w:val="004E625F"/>
    <w:rsid w:val="004E6626"/>
    <w:rsid w:val="004E668F"/>
    <w:rsid w:val="004E6932"/>
    <w:rsid w:val="004E694C"/>
    <w:rsid w:val="004E6AB0"/>
    <w:rsid w:val="004E7456"/>
    <w:rsid w:val="004E77F0"/>
    <w:rsid w:val="004E7C31"/>
    <w:rsid w:val="004E7C9B"/>
    <w:rsid w:val="004E7D79"/>
    <w:rsid w:val="004F0253"/>
    <w:rsid w:val="004F0379"/>
    <w:rsid w:val="004F0590"/>
    <w:rsid w:val="004F07CE"/>
    <w:rsid w:val="004F0AE0"/>
    <w:rsid w:val="004F0CC6"/>
    <w:rsid w:val="004F0CEC"/>
    <w:rsid w:val="004F0D56"/>
    <w:rsid w:val="004F0E75"/>
    <w:rsid w:val="004F1145"/>
    <w:rsid w:val="004F1492"/>
    <w:rsid w:val="004F1847"/>
    <w:rsid w:val="004F19C5"/>
    <w:rsid w:val="004F1B9B"/>
    <w:rsid w:val="004F1CBC"/>
    <w:rsid w:val="004F1E2E"/>
    <w:rsid w:val="004F2204"/>
    <w:rsid w:val="004F240F"/>
    <w:rsid w:val="004F2950"/>
    <w:rsid w:val="004F2A93"/>
    <w:rsid w:val="004F2AD7"/>
    <w:rsid w:val="004F2E32"/>
    <w:rsid w:val="004F32E3"/>
    <w:rsid w:val="004F3629"/>
    <w:rsid w:val="004F3B42"/>
    <w:rsid w:val="004F3B55"/>
    <w:rsid w:val="004F3FFA"/>
    <w:rsid w:val="004F428E"/>
    <w:rsid w:val="004F4713"/>
    <w:rsid w:val="004F47DD"/>
    <w:rsid w:val="004F49BE"/>
    <w:rsid w:val="004F4AD9"/>
    <w:rsid w:val="004F4B51"/>
    <w:rsid w:val="004F4E01"/>
    <w:rsid w:val="004F4E46"/>
    <w:rsid w:val="004F4EEE"/>
    <w:rsid w:val="004F52FA"/>
    <w:rsid w:val="004F579C"/>
    <w:rsid w:val="004F5CA5"/>
    <w:rsid w:val="004F641D"/>
    <w:rsid w:val="004F658D"/>
    <w:rsid w:val="004F6A0F"/>
    <w:rsid w:val="004F6B7D"/>
    <w:rsid w:val="004F6E36"/>
    <w:rsid w:val="004F7296"/>
    <w:rsid w:val="004F7396"/>
    <w:rsid w:val="004F7636"/>
    <w:rsid w:val="004F782B"/>
    <w:rsid w:val="004F7B01"/>
    <w:rsid w:val="004F7BEE"/>
    <w:rsid w:val="004F7E67"/>
    <w:rsid w:val="00500071"/>
    <w:rsid w:val="0050066B"/>
    <w:rsid w:val="0050067C"/>
    <w:rsid w:val="005007B2"/>
    <w:rsid w:val="00500BB8"/>
    <w:rsid w:val="00500BDD"/>
    <w:rsid w:val="005013E4"/>
    <w:rsid w:val="00501597"/>
    <w:rsid w:val="005015F6"/>
    <w:rsid w:val="005018DD"/>
    <w:rsid w:val="00501AD4"/>
    <w:rsid w:val="00501C5B"/>
    <w:rsid w:val="005027C0"/>
    <w:rsid w:val="00502E34"/>
    <w:rsid w:val="00502FB7"/>
    <w:rsid w:val="005030C4"/>
    <w:rsid w:val="005031C5"/>
    <w:rsid w:val="00503599"/>
    <w:rsid w:val="0050364F"/>
    <w:rsid w:val="00503884"/>
    <w:rsid w:val="005038A6"/>
    <w:rsid w:val="005039A3"/>
    <w:rsid w:val="00503C49"/>
    <w:rsid w:val="00504137"/>
    <w:rsid w:val="00504528"/>
    <w:rsid w:val="00504567"/>
    <w:rsid w:val="00504934"/>
    <w:rsid w:val="0050494C"/>
    <w:rsid w:val="00504AD4"/>
    <w:rsid w:val="00504CD8"/>
    <w:rsid w:val="00504FDC"/>
    <w:rsid w:val="005053A3"/>
    <w:rsid w:val="00505549"/>
    <w:rsid w:val="0050567A"/>
    <w:rsid w:val="005056A4"/>
    <w:rsid w:val="00505D27"/>
    <w:rsid w:val="00505E08"/>
    <w:rsid w:val="005060F0"/>
    <w:rsid w:val="00506319"/>
    <w:rsid w:val="005063F7"/>
    <w:rsid w:val="0050648A"/>
    <w:rsid w:val="00506518"/>
    <w:rsid w:val="00506529"/>
    <w:rsid w:val="00506792"/>
    <w:rsid w:val="00506E4A"/>
    <w:rsid w:val="00507252"/>
    <w:rsid w:val="005072C0"/>
    <w:rsid w:val="00507636"/>
    <w:rsid w:val="00507A50"/>
    <w:rsid w:val="00507A64"/>
    <w:rsid w:val="00507ADA"/>
    <w:rsid w:val="00507B0D"/>
    <w:rsid w:val="00507B86"/>
    <w:rsid w:val="00507DC5"/>
    <w:rsid w:val="00507DF5"/>
    <w:rsid w:val="00507EE1"/>
    <w:rsid w:val="00507F0B"/>
    <w:rsid w:val="0051024E"/>
    <w:rsid w:val="005107BE"/>
    <w:rsid w:val="00510B34"/>
    <w:rsid w:val="00510DF3"/>
    <w:rsid w:val="005111C7"/>
    <w:rsid w:val="00511223"/>
    <w:rsid w:val="00511386"/>
    <w:rsid w:val="00511395"/>
    <w:rsid w:val="00511600"/>
    <w:rsid w:val="005120CC"/>
    <w:rsid w:val="005122E2"/>
    <w:rsid w:val="0051232B"/>
    <w:rsid w:val="00512345"/>
    <w:rsid w:val="00512574"/>
    <w:rsid w:val="00512699"/>
    <w:rsid w:val="00512774"/>
    <w:rsid w:val="00512B7B"/>
    <w:rsid w:val="00512C4A"/>
    <w:rsid w:val="00512DB7"/>
    <w:rsid w:val="00512DD9"/>
    <w:rsid w:val="00512EAF"/>
    <w:rsid w:val="005131A5"/>
    <w:rsid w:val="005135A0"/>
    <w:rsid w:val="00513C8D"/>
    <w:rsid w:val="00513CAC"/>
    <w:rsid w:val="00513F0C"/>
    <w:rsid w:val="0051411D"/>
    <w:rsid w:val="0051414F"/>
    <w:rsid w:val="0051415B"/>
    <w:rsid w:val="005144A9"/>
    <w:rsid w:val="0051467A"/>
    <w:rsid w:val="00514A33"/>
    <w:rsid w:val="00514AE6"/>
    <w:rsid w:val="00514EA1"/>
    <w:rsid w:val="00514EB5"/>
    <w:rsid w:val="005155B8"/>
    <w:rsid w:val="005155FB"/>
    <w:rsid w:val="00515805"/>
    <w:rsid w:val="0051586F"/>
    <w:rsid w:val="0051590E"/>
    <w:rsid w:val="00515B93"/>
    <w:rsid w:val="005162B2"/>
    <w:rsid w:val="00516AF2"/>
    <w:rsid w:val="00517482"/>
    <w:rsid w:val="005174B2"/>
    <w:rsid w:val="005174D8"/>
    <w:rsid w:val="0051781A"/>
    <w:rsid w:val="005178C7"/>
    <w:rsid w:val="0051792A"/>
    <w:rsid w:val="0051798B"/>
    <w:rsid w:val="00517BCF"/>
    <w:rsid w:val="005201B3"/>
    <w:rsid w:val="005201F0"/>
    <w:rsid w:val="005208BA"/>
    <w:rsid w:val="00520902"/>
    <w:rsid w:val="00520977"/>
    <w:rsid w:val="00520A8E"/>
    <w:rsid w:val="00520E01"/>
    <w:rsid w:val="00520EDB"/>
    <w:rsid w:val="00520F75"/>
    <w:rsid w:val="00521362"/>
    <w:rsid w:val="00521B5A"/>
    <w:rsid w:val="00521C07"/>
    <w:rsid w:val="00521DFD"/>
    <w:rsid w:val="00521F5A"/>
    <w:rsid w:val="00522551"/>
    <w:rsid w:val="005228B0"/>
    <w:rsid w:val="00522B99"/>
    <w:rsid w:val="00522C1C"/>
    <w:rsid w:val="00522CAF"/>
    <w:rsid w:val="00523199"/>
    <w:rsid w:val="0052338C"/>
    <w:rsid w:val="005234D7"/>
    <w:rsid w:val="00523FA6"/>
    <w:rsid w:val="005245B8"/>
    <w:rsid w:val="00524605"/>
    <w:rsid w:val="0052499E"/>
    <w:rsid w:val="00524BE9"/>
    <w:rsid w:val="00524C74"/>
    <w:rsid w:val="00524FBA"/>
    <w:rsid w:val="005254DA"/>
    <w:rsid w:val="005258F4"/>
    <w:rsid w:val="00525AC9"/>
    <w:rsid w:val="00525CBD"/>
    <w:rsid w:val="00525DA7"/>
    <w:rsid w:val="00525E06"/>
    <w:rsid w:val="005260A7"/>
    <w:rsid w:val="005262B3"/>
    <w:rsid w:val="00526454"/>
    <w:rsid w:val="00526677"/>
    <w:rsid w:val="005266C4"/>
    <w:rsid w:val="0052689A"/>
    <w:rsid w:val="005268AF"/>
    <w:rsid w:val="00526E24"/>
    <w:rsid w:val="00527274"/>
    <w:rsid w:val="005273E8"/>
    <w:rsid w:val="00527400"/>
    <w:rsid w:val="005279E2"/>
    <w:rsid w:val="00527F08"/>
    <w:rsid w:val="00527FF8"/>
    <w:rsid w:val="005304E7"/>
    <w:rsid w:val="00530639"/>
    <w:rsid w:val="0053086C"/>
    <w:rsid w:val="00530A64"/>
    <w:rsid w:val="0053149B"/>
    <w:rsid w:val="00531823"/>
    <w:rsid w:val="00531A5A"/>
    <w:rsid w:val="00531E30"/>
    <w:rsid w:val="00532219"/>
    <w:rsid w:val="00532C85"/>
    <w:rsid w:val="00532D33"/>
    <w:rsid w:val="00532E01"/>
    <w:rsid w:val="005333A5"/>
    <w:rsid w:val="00533437"/>
    <w:rsid w:val="005334E8"/>
    <w:rsid w:val="0053359B"/>
    <w:rsid w:val="00533B49"/>
    <w:rsid w:val="00533BC3"/>
    <w:rsid w:val="00533C9A"/>
    <w:rsid w:val="00533D4A"/>
    <w:rsid w:val="005341C7"/>
    <w:rsid w:val="005346CD"/>
    <w:rsid w:val="0053472E"/>
    <w:rsid w:val="00534A08"/>
    <w:rsid w:val="00534A2C"/>
    <w:rsid w:val="00534A2D"/>
    <w:rsid w:val="00534B39"/>
    <w:rsid w:val="00534C97"/>
    <w:rsid w:val="00534ECC"/>
    <w:rsid w:val="00534FBC"/>
    <w:rsid w:val="005357C7"/>
    <w:rsid w:val="005359F1"/>
    <w:rsid w:val="00535A21"/>
    <w:rsid w:val="0053659D"/>
    <w:rsid w:val="0053679D"/>
    <w:rsid w:val="00536C35"/>
    <w:rsid w:val="00536CF2"/>
    <w:rsid w:val="00536D78"/>
    <w:rsid w:val="00536EF0"/>
    <w:rsid w:val="0053720D"/>
    <w:rsid w:val="005372F2"/>
    <w:rsid w:val="00537373"/>
    <w:rsid w:val="005373A4"/>
    <w:rsid w:val="0053752B"/>
    <w:rsid w:val="005376A5"/>
    <w:rsid w:val="00537CDF"/>
    <w:rsid w:val="00537D80"/>
    <w:rsid w:val="00537DA7"/>
    <w:rsid w:val="00537EC4"/>
    <w:rsid w:val="00540127"/>
    <w:rsid w:val="0054067C"/>
    <w:rsid w:val="00540695"/>
    <w:rsid w:val="00540C33"/>
    <w:rsid w:val="00540CE6"/>
    <w:rsid w:val="00540EF5"/>
    <w:rsid w:val="00541162"/>
    <w:rsid w:val="00541205"/>
    <w:rsid w:val="00541269"/>
    <w:rsid w:val="005413B6"/>
    <w:rsid w:val="005415D4"/>
    <w:rsid w:val="00541760"/>
    <w:rsid w:val="00541781"/>
    <w:rsid w:val="005417EE"/>
    <w:rsid w:val="00541880"/>
    <w:rsid w:val="0054189A"/>
    <w:rsid w:val="00541973"/>
    <w:rsid w:val="00541BF3"/>
    <w:rsid w:val="00541C26"/>
    <w:rsid w:val="00541CA3"/>
    <w:rsid w:val="00541CD3"/>
    <w:rsid w:val="00541E28"/>
    <w:rsid w:val="00542347"/>
    <w:rsid w:val="0054259A"/>
    <w:rsid w:val="00542A74"/>
    <w:rsid w:val="005435A4"/>
    <w:rsid w:val="00543635"/>
    <w:rsid w:val="005437DB"/>
    <w:rsid w:val="00543985"/>
    <w:rsid w:val="00543B30"/>
    <w:rsid w:val="00543DD1"/>
    <w:rsid w:val="00543FBE"/>
    <w:rsid w:val="00544296"/>
    <w:rsid w:val="00544810"/>
    <w:rsid w:val="00544858"/>
    <w:rsid w:val="00544BAE"/>
    <w:rsid w:val="00544D30"/>
    <w:rsid w:val="00544F4E"/>
    <w:rsid w:val="00545020"/>
    <w:rsid w:val="0054526D"/>
    <w:rsid w:val="005452BF"/>
    <w:rsid w:val="005461E2"/>
    <w:rsid w:val="005463ED"/>
    <w:rsid w:val="005468E9"/>
    <w:rsid w:val="00546B5B"/>
    <w:rsid w:val="00546CE8"/>
    <w:rsid w:val="00546D21"/>
    <w:rsid w:val="00546FAC"/>
    <w:rsid w:val="005472EC"/>
    <w:rsid w:val="0054755F"/>
    <w:rsid w:val="005476FA"/>
    <w:rsid w:val="00547749"/>
    <w:rsid w:val="00547AFB"/>
    <w:rsid w:val="00547B05"/>
    <w:rsid w:val="00547BFA"/>
    <w:rsid w:val="005500DD"/>
    <w:rsid w:val="00550321"/>
    <w:rsid w:val="00550652"/>
    <w:rsid w:val="005506C2"/>
    <w:rsid w:val="00550739"/>
    <w:rsid w:val="005508B7"/>
    <w:rsid w:val="005509C5"/>
    <w:rsid w:val="00550B7B"/>
    <w:rsid w:val="00550BD3"/>
    <w:rsid w:val="00550EC4"/>
    <w:rsid w:val="005511B2"/>
    <w:rsid w:val="00551A5E"/>
    <w:rsid w:val="00551AB7"/>
    <w:rsid w:val="00551BFD"/>
    <w:rsid w:val="0055218D"/>
    <w:rsid w:val="005525DE"/>
    <w:rsid w:val="005528AB"/>
    <w:rsid w:val="00552B1B"/>
    <w:rsid w:val="00553084"/>
    <w:rsid w:val="005532CA"/>
    <w:rsid w:val="00553908"/>
    <w:rsid w:val="00553A09"/>
    <w:rsid w:val="005541C5"/>
    <w:rsid w:val="00554B2B"/>
    <w:rsid w:val="00554C94"/>
    <w:rsid w:val="00554D44"/>
    <w:rsid w:val="00554D9D"/>
    <w:rsid w:val="00554F1F"/>
    <w:rsid w:val="00555120"/>
    <w:rsid w:val="0055542F"/>
    <w:rsid w:val="005555EA"/>
    <w:rsid w:val="0055595E"/>
    <w:rsid w:val="00555C8A"/>
    <w:rsid w:val="00556064"/>
    <w:rsid w:val="005560BA"/>
    <w:rsid w:val="0055668C"/>
    <w:rsid w:val="00556E8B"/>
    <w:rsid w:val="00556EFE"/>
    <w:rsid w:val="00556F74"/>
    <w:rsid w:val="00557009"/>
    <w:rsid w:val="005572DF"/>
    <w:rsid w:val="005573E1"/>
    <w:rsid w:val="00557615"/>
    <w:rsid w:val="0055762E"/>
    <w:rsid w:val="00557685"/>
    <w:rsid w:val="00557747"/>
    <w:rsid w:val="00557988"/>
    <w:rsid w:val="00557BA8"/>
    <w:rsid w:val="00557BD7"/>
    <w:rsid w:val="00557C90"/>
    <w:rsid w:val="005600CC"/>
    <w:rsid w:val="00560102"/>
    <w:rsid w:val="00560143"/>
    <w:rsid w:val="005608F7"/>
    <w:rsid w:val="005609A7"/>
    <w:rsid w:val="00560D50"/>
    <w:rsid w:val="00560D54"/>
    <w:rsid w:val="00561375"/>
    <w:rsid w:val="00561508"/>
    <w:rsid w:val="00561516"/>
    <w:rsid w:val="00561715"/>
    <w:rsid w:val="00561F12"/>
    <w:rsid w:val="005620ED"/>
    <w:rsid w:val="00562C49"/>
    <w:rsid w:val="00562DEF"/>
    <w:rsid w:val="0056321A"/>
    <w:rsid w:val="00563487"/>
    <w:rsid w:val="005639FA"/>
    <w:rsid w:val="00563A1A"/>
    <w:rsid w:val="00563A35"/>
    <w:rsid w:val="00563DA1"/>
    <w:rsid w:val="00564B4D"/>
    <w:rsid w:val="00564F64"/>
    <w:rsid w:val="00565180"/>
    <w:rsid w:val="0056564A"/>
    <w:rsid w:val="00565694"/>
    <w:rsid w:val="00566091"/>
    <w:rsid w:val="005663DB"/>
    <w:rsid w:val="00566596"/>
    <w:rsid w:val="0056664F"/>
    <w:rsid w:val="005666EF"/>
    <w:rsid w:val="0056697F"/>
    <w:rsid w:val="00566A05"/>
    <w:rsid w:val="00566CD4"/>
    <w:rsid w:val="00566CE8"/>
    <w:rsid w:val="00566D1B"/>
    <w:rsid w:val="00566D8C"/>
    <w:rsid w:val="00567297"/>
    <w:rsid w:val="0056768F"/>
    <w:rsid w:val="00567BED"/>
    <w:rsid w:val="00567EB2"/>
    <w:rsid w:val="00570432"/>
    <w:rsid w:val="00570D34"/>
    <w:rsid w:val="00570F25"/>
    <w:rsid w:val="00571044"/>
    <w:rsid w:val="005711FE"/>
    <w:rsid w:val="0057125C"/>
    <w:rsid w:val="00571824"/>
    <w:rsid w:val="00571A62"/>
    <w:rsid w:val="00571AC6"/>
    <w:rsid w:val="00571C61"/>
    <w:rsid w:val="005720B0"/>
    <w:rsid w:val="005722F5"/>
    <w:rsid w:val="005725EB"/>
    <w:rsid w:val="00572CB6"/>
    <w:rsid w:val="00572D53"/>
    <w:rsid w:val="00572D7A"/>
    <w:rsid w:val="00573072"/>
    <w:rsid w:val="00573188"/>
    <w:rsid w:val="005731CF"/>
    <w:rsid w:val="00573604"/>
    <w:rsid w:val="00573CD2"/>
    <w:rsid w:val="00573EEE"/>
    <w:rsid w:val="005741C5"/>
    <w:rsid w:val="005741E9"/>
    <w:rsid w:val="0057449A"/>
    <w:rsid w:val="00574772"/>
    <w:rsid w:val="0057478E"/>
    <w:rsid w:val="005748CF"/>
    <w:rsid w:val="00574F6D"/>
    <w:rsid w:val="00575003"/>
    <w:rsid w:val="0057516D"/>
    <w:rsid w:val="00575373"/>
    <w:rsid w:val="00575414"/>
    <w:rsid w:val="0057566F"/>
    <w:rsid w:val="00575B72"/>
    <w:rsid w:val="00575DD0"/>
    <w:rsid w:val="00575E4C"/>
    <w:rsid w:val="00575FEB"/>
    <w:rsid w:val="00575FEC"/>
    <w:rsid w:val="005763D2"/>
    <w:rsid w:val="005769DA"/>
    <w:rsid w:val="00576C26"/>
    <w:rsid w:val="00576C4C"/>
    <w:rsid w:val="00576DFA"/>
    <w:rsid w:val="00576F3D"/>
    <w:rsid w:val="005775AD"/>
    <w:rsid w:val="00577BBF"/>
    <w:rsid w:val="00577FF4"/>
    <w:rsid w:val="00580258"/>
    <w:rsid w:val="00580304"/>
    <w:rsid w:val="005804EA"/>
    <w:rsid w:val="005805F7"/>
    <w:rsid w:val="005809A2"/>
    <w:rsid w:val="00580AAC"/>
    <w:rsid w:val="00580AC0"/>
    <w:rsid w:val="00580E5E"/>
    <w:rsid w:val="005813C2"/>
    <w:rsid w:val="0058140C"/>
    <w:rsid w:val="00581564"/>
    <w:rsid w:val="0058174A"/>
    <w:rsid w:val="005818EE"/>
    <w:rsid w:val="00581B7B"/>
    <w:rsid w:val="00581F1F"/>
    <w:rsid w:val="005820C4"/>
    <w:rsid w:val="0058228F"/>
    <w:rsid w:val="0058267A"/>
    <w:rsid w:val="00582EEC"/>
    <w:rsid w:val="005830EF"/>
    <w:rsid w:val="005835FB"/>
    <w:rsid w:val="00583692"/>
    <w:rsid w:val="00583F04"/>
    <w:rsid w:val="00584024"/>
    <w:rsid w:val="00584270"/>
    <w:rsid w:val="005842CA"/>
    <w:rsid w:val="005845E6"/>
    <w:rsid w:val="00584738"/>
    <w:rsid w:val="00584993"/>
    <w:rsid w:val="00584A3B"/>
    <w:rsid w:val="005850FD"/>
    <w:rsid w:val="005851F4"/>
    <w:rsid w:val="005852B5"/>
    <w:rsid w:val="00585301"/>
    <w:rsid w:val="00585503"/>
    <w:rsid w:val="005859B1"/>
    <w:rsid w:val="00585A64"/>
    <w:rsid w:val="00585E17"/>
    <w:rsid w:val="00585FCF"/>
    <w:rsid w:val="005864D3"/>
    <w:rsid w:val="00586501"/>
    <w:rsid w:val="00586647"/>
    <w:rsid w:val="00586648"/>
    <w:rsid w:val="005866D8"/>
    <w:rsid w:val="0058695A"/>
    <w:rsid w:val="00586B85"/>
    <w:rsid w:val="00587266"/>
    <w:rsid w:val="0058747A"/>
    <w:rsid w:val="0058753C"/>
    <w:rsid w:val="00587667"/>
    <w:rsid w:val="005876EF"/>
    <w:rsid w:val="00587983"/>
    <w:rsid w:val="00587A9A"/>
    <w:rsid w:val="00587CBB"/>
    <w:rsid w:val="00587D93"/>
    <w:rsid w:val="00587DD2"/>
    <w:rsid w:val="00587DD5"/>
    <w:rsid w:val="00587FC9"/>
    <w:rsid w:val="0059008F"/>
    <w:rsid w:val="00590119"/>
    <w:rsid w:val="005902C6"/>
    <w:rsid w:val="00590900"/>
    <w:rsid w:val="00590946"/>
    <w:rsid w:val="00590B07"/>
    <w:rsid w:val="005910C0"/>
    <w:rsid w:val="00591101"/>
    <w:rsid w:val="005913EB"/>
    <w:rsid w:val="00591B4F"/>
    <w:rsid w:val="00591C01"/>
    <w:rsid w:val="00591E3F"/>
    <w:rsid w:val="00591F8E"/>
    <w:rsid w:val="005920B0"/>
    <w:rsid w:val="005921CA"/>
    <w:rsid w:val="0059224C"/>
    <w:rsid w:val="00592263"/>
    <w:rsid w:val="00592ADD"/>
    <w:rsid w:val="00592C3C"/>
    <w:rsid w:val="00592E24"/>
    <w:rsid w:val="00593693"/>
    <w:rsid w:val="0059380D"/>
    <w:rsid w:val="00593B37"/>
    <w:rsid w:val="00593B7F"/>
    <w:rsid w:val="00593EC4"/>
    <w:rsid w:val="00594145"/>
    <w:rsid w:val="005942A8"/>
    <w:rsid w:val="0059490D"/>
    <w:rsid w:val="00594A27"/>
    <w:rsid w:val="00594B5C"/>
    <w:rsid w:val="00594BA4"/>
    <w:rsid w:val="00594C1C"/>
    <w:rsid w:val="00594F09"/>
    <w:rsid w:val="00594FA0"/>
    <w:rsid w:val="00595125"/>
    <w:rsid w:val="00595150"/>
    <w:rsid w:val="005952E5"/>
    <w:rsid w:val="0059544D"/>
    <w:rsid w:val="00595500"/>
    <w:rsid w:val="0059571F"/>
    <w:rsid w:val="005957F5"/>
    <w:rsid w:val="005957F6"/>
    <w:rsid w:val="005959A1"/>
    <w:rsid w:val="00595A8F"/>
    <w:rsid w:val="00595E55"/>
    <w:rsid w:val="0059608C"/>
    <w:rsid w:val="005960EF"/>
    <w:rsid w:val="0059676A"/>
    <w:rsid w:val="005968C4"/>
    <w:rsid w:val="0059694D"/>
    <w:rsid w:val="00596A10"/>
    <w:rsid w:val="00596F89"/>
    <w:rsid w:val="00596F92"/>
    <w:rsid w:val="00596FEB"/>
    <w:rsid w:val="0059712E"/>
    <w:rsid w:val="005977C2"/>
    <w:rsid w:val="00597BF2"/>
    <w:rsid w:val="00597DFD"/>
    <w:rsid w:val="00597F63"/>
    <w:rsid w:val="005A032B"/>
    <w:rsid w:val="005A0408"/>
    <w:rsid w:val="005A053F"/>
    <w:rsid w:val="005A0589"/>
    <w:rsid w:val="005A09C8"/>
    <w:rsid w:val="005A0BB8"/>
    <w:rsid w:val="005A0D55"/>
    <w:rsid w:val="005A0D59"/>
    <w:rsid w:val="005A123E"/>
    <w:rsid w:val="005A1283"/>
    <w:rsid w:val="005A143F"/>
    <w:rsid w:val="005A1DEB"/>
    <w:rsid w:val="005A1F0B"/>
    <w:rsid w:val="005A1F54"/>
    <w:rsid w:val="005A2CCD"/>
    <w:rsid w:val="005A2CF7"/>
    <w:rsid w:val="005A2F3E"/>
    <w:rsid w:val="005A3020"/>
    <w:rsid w:val="005A3357"/>
    <w:rsid w:val="005A3468"/>
    <w:rsid w:val="005A3518"/>
    <w:rsid w:val="005A3949"/>
    <w:rsid w:val="005A3EB7"/>
    <w:rsid w:val="005A41FE"/>
    <w:rsid w:val="005A4506"/>
    <w:rsid w:val="005A478B"/>
    <w:rsid w:val="005A4983"/>
    <w:rsid w:val="005A4A46"/>
    <w:rsid w:val="005A4CD1"/>
    <w:rsid w:val="005A4F8A"/>
    <w:rsid w:val="005A513B"/>
    <w:rsid w:val="005A51E1"/>
    <w:rsid w:val="005A5780"/>
    <w:rsid w:val="005A586E"/>
    <w:rsid w:val="005A5A81"/>
    <w:rsid w:val="005A5B81"/>
    <w:rsid w:val="005A63C7"/>
    <w:rsid w:val="005A6581"/>
    <w:rsid w:val="005A6650"/>
    <w:rsid w:val="005A66FA"/>
    <w:rsid w:val="005A6DB6"/>
    <w:rsid w:val="005A7177"/>
    <w:rsid w:val="005A71F1"/>
    <w:rsid w:val="005A7214"/>
    <w:rsid w:val="005A73C1"/>
    <w:rsid w:val="005A762E"/>
    <w:rsid w:val="005A7ACD"/>
    <w:rsid w:val="005A7D71"/>
    <w:rsid w:val="005A7E0A"/>
    <w:rsid w:val="005A7EE3"/>
    <w:rsid w:val="005B040A"/>
    <w:rsid w:val="005B049C"/>
    <w:rsid w:val="005B0BFE"/>
    <w:rsid w:val="005B1264"/>
    <w:rsid w:val="005B134E"/>
    <w:rsid w:val="005B1398"/>
    <w:rsid w:val="005B1490"/>
    <w:rsid w:val="005B14C8"/>
    <w:rsid w:val="005B16CC"/>
    <w:rsid w:val="005B1AF5"/>
    <w:rsid w:val="005B1DDF"/>
    <w:rsid w:val="005B2039"/>
    <w:rsid w:val="005B2226"/>
    <w:rsid w:val="005B2E46"/>
    <w:rsid w:val="005B344F"/>
    <w:rsid w:val="005B36D0"/>
    <w:rsid w:val="005B36F6"/>
    <w:rsid w:val="005B3942"/>
    <w:rsid w:val="005B3C7A"/>
    <w:rsid w:val="005B3C82"/>
    <w:rsid w:val="005B3DD6"/>
    <w:rsid w:val="005B3FBA"/>
    <w:rsid w:val="005B4148"/>
    <w:rsid w:val="005B4430"/>
    <w:rsid w:val="005B465C"/>
    <w:rsid w:val="005B4925"/>
    <w:rsid w:val="005B49D1"/>
    <w:rsid w:val="005B4A1D"/>
    <w:rsid w:val="005B4C9A"/>
    <w:rsid w:val="005B5182"/>
    <w:rsid w:val="005B53CB"/>
    <w:rsid w:val="005B554B"/>
    <w:rsid w:val="005B5D11"/>
    <w:rsid w:val="005B5D78"/>
    <w:rsid w:val="005B5E5A"/>
    <w:rsid w:val="005B5E5E"/>
    <w:rsid w:val="005B5F4E"/>
    <w:rsid w:val="005B5FCE"/>
    <w:rsid w:val="005B5FED"/>
    <w:rsid w:val="005B60BB"/>
    <w:rsid w:val="005B633E"/>
    <w:rsid w:val="005B64AC"/>
    <w:rsid w:val="005B674D"/>
    <w:rsid w:val="005B683B"/>
    <w:rsid w:val="005B6856"/>
    <w:rsid w:val="005B68E8"/>
    <w:rsid w:val="005B69C5"/>
    <w:rsid w:val="005B6A92"/>
    <w:rsid w:val="005B6DAC"/>
    <w:rsid w:val="005B71D2"/>
    <w:rsid w:val="005B7361"/>
    <w:rsid w:val="005B7410"/>
    <w:rsid w:val="005B7D2B"/>
    <w:rsid w:val="005B7E91"/>
    <w:rsid w:val="005B7FC5"/>
    <w:rsid w:val="005C0004"/>
    <w:rsid w:val="005C00E8"/>
    <w:rsid w:val="005C0259"/>
    <w:rsid w:val="005C02FC"/>
    <w:rsid w:val="005C056D"/>
    <w:rsid w:val="005C05B8"/>
    <w:rsid w:val="005C0895"/>
    <w:rsid w:val="005C08F5"/>
    <w:rsid w:val="005C0C3D"/>
    <w:rsid w:val="005C0CBE"/>
    <w:rsid w:val="005C1174"/>
    <w:rsid w:val="005C1196"/>
    <w:rsid w:val="005C167D"/>
    <w:rsid w:val="005C179F"/>
    <w:rsid w:val="005C1CE6"/>
    <w:rsid w:val="005C1E37"/>
    <w:rsid w:val="005C1F05"/>
    <w:rsid w:val="005C1F0A"/>
    <w:rsid w:val="005C1FCF"/>
    <w:rsid w:val="005C22CC"/>
    <w:rsid w:val="005C2398"/>
    <w:rsid w:val="005C2FD9"/>
    <w:rsid w:val="005C3568"/>
    <w:rsid w:val="005C3A06"/>
    <w:rsid w:val="005C3B54"/>
    <w:rsid w:val="005C3EDF"/>
    <w:rsid w:val="005C3F41"/>
    <w:rsid w:val="005C3F94"/>
    <w:rsid w:val="005C40FD"/>
    <w:rsid w:val="005C4241"/>
    <w:rsid w:val="005C463C"/>
    <w:rsid w:val="005C4AE9"/>
    <w:rsid w:val="005C4C35"/>
    <w:rsid w:val="005C515C"/>
    <w:rsid w:val="005C55F2"/>
    <w:rsid w:val="005C5AE1"/>
    <w:rsid w:val="005C5FFA"/>
    <w:rsid w:val="005C610D"/>
    <w:rsid w:val="005C624A"/>
    <w:rsid w:val="005C6460"/>
    <w:rsid w:val="005C65D2"/>
    <w:rsid w:val="005C6613"/>
    <w:rsid w:val="005C6A57"/>
    <w:rsid w:val="005C6AC6"/>
    <w:rsid w:val="005C6C42"/>
    <w:rsid w:val="005C7454"/>
    <w:rsid w:val="005C75A1"/>
    <w:rsid w:val="005C781D"/>
    <w:rsid w:val="005C7A2A"/>
    <w:rsid w:val="005D0012"/>
    <w:rsid w:val="005D073F"/>
    <w:rsid w:val="005D0993"/>
    <w:rsid w:val="005D0BA9"/>
    <w:rsid w:val="005D0E2F"/>
    <w:rsid w:val="005D107D"/>
    <w:rsid w:val="005D1175"/>
    <w:rsid w:val="005D1497"/>
    <w:rsid w:val="005D14E5"/>
    <w:rsid w:val="005D1885"/>
    <w:rsid w:val="005D1A6D"/>
    <w:rsid w:val="005D1B89"/>
    <w:rsid w:val="005D1E4C"/>
    <w:rsid w:val="005D2065"/>
    <w:rsid w:val="005D2104"/>
    <w:rsid w:val="005D248F"/>
    <w:rsid w:val="005D27EE"/>
    <w:rsid w:val="005D2927"/>
    <w:rsid w:val="005D32E9"/>
    <w:rsid w:val="005D33D8"/>
    <w:rsid w:val="005D34B2"/>
    <w:rsid w:val="005D36D2"/>
    <w:rsid w:val="005D3AA9"/>
    <w:rsid w:val="005D3AFF"/>
    <w:rsid w:val="005D3BAE"/>
    <w:rsid w:val="005D4524"/>
    <w:rsid w:val="005D49DA"/>
    <w:rsid w:val="005D4A07"/>
    <w:rsid w:val="005D4A38"/>
    <w:rsid w:val="005D5013"/>
    <w:rsid w:val="005D505E"/>
    <w:rsid w:val="005D528E"/>
    <w:rsid w:val="005D56AD"/>
    <w:rsid w:val="005D5739"/>
    <w:rsid w:val="005D576E"/>
    <w:rsid w:val="005D5ACE"/>
    <w:rsid w:val="005D5BCB"/>
    <w:rsid w:val="005D5DC9"/>
    <w:rsid w:val="005D5ED6"/>
    <w:rsid w:val="005D5F9A"/>
    <w:rsid w:val="005D5FE5"/>
    <w:rsid w:val="005D613C"/>
    <w:rsid w:val="005D6294"/>
    <w:rsid w:val="005D6569"/>
    <w:rsid w:val="005D6B5D"/>
    <w:rsid w:val="005D6D38"/>
    <w:rsid w:val="005D6D69"/>
    <w:rsid w:val="005D6DE6"/>
    <w:rsid w:val="005D7140"/>
    <w:rsid w:val="005D7320"/>
    <w:rsid w:val="005D786B"/>
    <w:rsid w:val="005D7B85"/>
    <w:rsid w:val="005D7C69"/>
    <w:rsid w:val="005D7DCA"/>
    <w:rsid w:val="005E0A04"/>
    <w:rsid w:val="005E0C27"/>
    <w:rsid w:val="005E0E51"/>
    <w:rsid w:val="005E10C4"/>
    <w:rsid w:val="005E130F"/>
    <w:rsid w:val="005E1B66"/>
    <w:rsid w:val="005E2071"/>
    <w:rsid w:val="005E247D"/>
    <w:rsid w:val="005E24A0"/>
    <w:rsid w:val="005E2721"/>
    <w:rsid w:val="005E296B"/>
    <w:rsid w:val="005E29C7"/>
    <w:rsid w:val="005E2C74"/>
    <w:rsid w:val="005E2E88"/>
    <w:rsid w:val="005E2EEA"/>
    <w:rsid w:val="005E30B9"/>
    <w:rsid w:val="005E3175"/>
    <w:rsid w:val="005E34DA"/>
    <w:rsid w:val="005E3708"/>
    <w:rsid w:val="005E3926"/>
    <w:rsid w:val="005E3AF2"/>
    <w:rsid w:val="005E3CCD"/>
    <w:rsid w:val="005E3D6B"/>
    <w:rsid w:val="005E4143"/>
    <w:rsid w:val="005E458C"/>
    <w:rsid w:val="005E495A"/>
    <w:rsid w:val="005E4D9C"/>
    <w:rsid w:val="005E4E27"/>
    <w:rsid w:val="005E4EDA"/>
    <w:rsid w:val="005E5108"/>
    <w:rsid w:val="005E54C6"/>
    <w:rsid w:val="005E57E1"/>
    <w:rsid w:val="005E5B55"/>
    <w:rsid w:val="005E5C49"/>
    <w:rsid w:val="005E5CDF"/>
    <w:rsid w:val="005E5E4A"/>
    <w:rsid w:val="005E60D9"/>
    <w:rsid w:val="005E674B"/>
    <w:rsid w:val="005E693D"/>
    <w:rsid w:val="005E6D68"/>
    <w:rsid w:val="005E6F97"/>
    <w:rsid w:val="005E7069"/>
    <w:rsid w:val="005E7144"/>
    <w:rsid w:val="005E72DA"/>
    <w:rsid w:val="005E7571"/>
    <w:rsid w:val="005E75BF"/>
    <w:rsid w:val="005E7B07"/>
    <w:rsid w:val="005E7B2F"/>
    <w:rsid w:val="005F0100"/>
    <w:rsid w:val="005F0588"/>
    <w:rsid w:val="005F0B1B"/>
    <w:rsid w:val="005F0CBB"/>
    <w:rsid w:val="005F168A"/>
    <w:rsid w:val="005F16F5"/>
    <w:rsid w:val="005F1A59"/>
    <w:rsid w:val="005F1E35"/>
    <w:rsid w:val="005F1E8C"/>
    <w:rsid w:val="005F217C"/>
    <w:rsid w:val="005F2211"/>
    <w:rsid w:val="005F238D"/>
    <w:rsid w:val="005F2437"/>
    <w:rsid w:val="005F257B"/>
    <w:rsid w:val="005F25F9"/>
    <w:rsid w:val="005F25FD"/>
    <w:rsid w:val="005F267F"/>
    <w:rsid w:val="005F27B3"/>
    <w:rsid w:val="005F283E"/>
    <w:rsid w:val="005F2AE7"/>
    <w:rsid w:val="005F2BEA"/>
    <w:rsid w:val="005F2CCB"/>
    <w:rsid w:val="005F2D1F"/>
    <w:rsid w:val="005F2D46"/>
    <w:rsid w:val="005F2E03"/>
    <w:rsid w:val="005F2E3A"/>
    <w:rsid w:val="005F2E6F"/>
    <w:rsid w:val="005F3082"/>
    <w:rsid w:val="005F3303"/>
    <w:rsid w:val="005F3379"/>
    <w:rsid w:val="005F3523"/>
    <w:rsid w:val="005F3904"/>
    <w:rsid w:val="005F3E46"/>
    <w:rsid w:val="005F3F68"/>
    <w:rsid w:val="005F48E3"/>
    <w:rsid w:val="005F4AEA"/>
    <w:rsid w:val="005F4B90"/>
    <w:rsid w:val="005F4F73"/>
    <w:rsid w:val="005F4FC1"/>
    <w:rsid w:val="005F57BA"/>
    <w:rsid w:val="005F584E"/>
    <w:rsid w:val="005F5C96"/>
    <w:rsid w:val="005F5FE9"/>
    <w:rsid w:val="005F61E6"/>
    <w:rsid w:val="005F61EA"/>
    <w:rsid w:val="005F627A"/>
    <w:rsid w:val="005F6958"/>
    <w:rsid w:val="005F6B25"/>
    <w:rsid w:val="005F6C45"/>
    <w:rsid w:val="005F6DA9"/>
    <w:rsid w:val="005F6DC6"/>
    <w:rsid w:val="005F6E32"/>
    <w:rsid w:val="005F7197"/>
    <w:rsid w:val="005F71F7"/>
    <w:rsid w:val="005F73D8"/>
    <w:rsid w:val="005F7403"/>
    <w:rsid w:val="005F7FF5"/>
    <w:rsid w:val="0060004B"/>
    <w:rsid w:val="0060007C"/>
    <w:rsid w:val="006004EA"/>
    <w:rsid w:val="006008E3"/>
    <w:rsid w:val="006009BA"/>
    <w:rsid w:val="00600A41"/>
    <w:rsid w:val="00600C0B"/>
    <w:rsid w:val="00600FC9"/>
    <w:rsid w:val="00600FE4"/>
    <w:rsid w:val="00601187"/>
    <w:rsid w:val="00601951"/>
    <w:rsid w:val="0060205B"/>
    <w:rsid w:val="006021EE"/>
    <w:rsid w:val="00602466"/>
    <w:rsid w:val="006026D6"/>
    <w:rsid w:val="0060295F"/>
    <w:rsid w:val="00602BF8"/>
    <w:rsid w:val="00602C23"/>
    <w:rsid w:val="00602CF5"/>
    <w:rsid w:val="00602E83"/>
    <w:rsid w:val="00602EE3"/>
    <w:rsid w:val="00603012"/>
    <w:rsid w:val="0060341A"/>
    <w:rsid w:val="0060356D"/>
    <w:rsid w:val="00603BDD"/>
    <w:rsid w:val="00603E33"/>
    <w:rsid w:val="00604031"/>
    <w:rsid w:val="0060424B"/>
    <w:rsid w:val="00604391"/>
    <w:rsid w:val="00604692"/>
    <w:rsid w:val="0060469C"/>
    <w:rsid w:val="006046D6"/>
    <w:rsid w:val="00604A74"/>
    <w:rsid w:val="00604B6D"/>
    <w:rsid w:val="00604E0B"/>
    <w:rsid w:val="0060531F"/>
    <w:rsid w:val="00605A69"/>
    <w:rsid w:val="00605B6D"/>
    <w:rsid w:val="00605DCF"/>
    <w:rsid w:val="00605F24"/>
    <w:rsid w:val="006067F1"/>
    <w:rsid w:val="0060683D"/>
    <w:rsid w:val="006069BE"/>
    <w:rsid w:val="00606B31"/>
    <w:rsid w:val="00606C37"/>
    <w:rsid w:val="00606C54"/>
    <w:rsid w:val="006070E6"/>
    <w:rsid w:val="00607DCD"/>
    <w:rsid w:val="00607EB4"/>
    <w:rsid w:val="00607EE6"/>
    <w:rsid w:val="006100D8"/>
    <w:rsid w:val="0061032F"/>
    <w:rsid w:val="006105BC"/>
    <w:rsid w:val="006107F2"/>
    <w:rsid w:val="00610A1C"/>
    <w:rsid w:val="00610A70"/>
    <w:rsid w:val="00610BF8"/>
    <w:rsid w:val="00610D6A"/>
    <w:rsid w:val="00610EB3"/>
    <w:rsid w:val="006112C2"/>
    <w:rsid w:val="0061151E"/>
    <w:rsid w:val="00611808"/>
    <w:rsid w:val="0061184E"/>
    <w:rsid w:val="00611A5B"/>
    <w:rsid w:val="00611C8F"/>
    <w:rsid w:val="00611DE7"/>
    <w:rsid w:val="00611F76"/>
    <w:rsid w:val="006123AC"/>
    <w:rsid w:val="00612765"/>
    <w:rsid w:val="006129EC"/>
    <w:rsid w:val="00612A19"/>
    <w:rsid w:val="00612D75"/>
    <w:rsid w:val="00612FE8"/>
    <w:rsid w:val="006130DF"/>
    <w:rsid w:val="0061310F"/>
    <w:rsid w:val="006136DA"/>
    <w:rsid w:val="006138C5"/>
    <w:rsid w:val="0061396C"/>
    <w:rsid w:val="006139B9"/>
    <w:rsid w:val="00613AE4"/>
    <w:rsid w:val="00613B95"/>
    <w:rsid w:val="00613C5E"/>
    <w:rsid w:val="00613C69"/>
    <w:rsid w:val="00614375"/>
    <w:rsid w:val="00614408"/>
    <w:rsid w:val="0061495E"/>
    <w:rsid w:val="00614AFD"/>
    <w:rsid w:val="00614C7F"/>
    <w:rsid w:val="00614CAC"/>
    <w:rsid w:val="00614DC8"/>
    <w:rsid w:val="00614F30"/>
    <w:rsid w:val="00614F71"/>
    <w:rsid w:val="00615093"/>
    <w:rsid w:val="0061530C"/>
    <w:rsid w:val="006156DF"/>
    <w:rsid w:val="00615760"/>
    <w:rsid w:val="0061593E"/>
    <w:rsid w:val="00615B0A"/>
    <w:rsid w:val="00615F14"/>
    <w:rsid w:val="0061654C"/>
    <w:rsid w:val="00616770"/>
    <w:rsid w:val="006168CF"/>
    <w:rsid w:val="00616957"/>
    <w:rsid w:val="006169B0"/>
    <w:rsid w:val="00616AF5"/>
    <w:rsid w:val="00616F54"/>
    <w:rsid w:val="00617123"/>
    <w:rsid w:val="006172F7"/>
    <w:rsid w:val="006173ED"/>
    <w:rsid w:val="00617551"/>
    <w:rsid w:val="0061767D"/>
    <w:rsid w:val="00617DD6"/>
    <w:rsid w:val="00617FD1"/>
    <w:rsid w:val="0062011B"/>
    <w:rsid w:val="0062071C"/>
    <w:rsid w:val="00620932"/>
    <w:rsid w:val="00620C5F"/>
    <w:rsid w:val="00621500"/>
    <w:rsid w:val="00621AE7"/>
    <w:rsid w:val="0062240C"/>
    <w:rsid w:val="00622594"/>
    <w:rsid w:val="006227EA"/>
    <w:rsid w:val="00622851"/>
    <w:rsid w:val="006228CB"/>
    <w:rsid w:val="00622936"/>
    <w:rsid w:val="0062299F"/>
    <w:rsid w:val="00622B98"/>
    <w:rsid w:val="00622E58"/>
    <w:rsid w:val="00623614"/>
    <w:rsid w:val="006236B7"/>
    <w:rsid w:val="0062394F"/>
    <w:rsid w:val="00623A20"/>
    <w:rsid w:val="00623AE9"/>
    <w:rsid w:val="00623B77"/>
    <w:rsid w:val="00623B93"/>
    <w:rsid w:val="00623F5F"/>
    <w:rsid w:val="00624B94"/>
    <w:rsid w:val="00624F0B"/>
    <w:rsid w:val="00624F5A"/>
    <w:rsid w:val="006258DF"/>
    <w:rsid w:val="006258E9"/>
    <w:rsid w:val="00625975"/>
    <w:rsid w:val="006259A9"/>
    <w:rsid w:val="006259FB"/>
    <w:rsid w:val="00625A80"/>
    <w:rsid w:val="00625A8E"/>
    <w:rsid w:val="00625AD6"/>
    <w:rsid w:val="00625BB5"/>
    <w:rsid w:val="00625BE9"/>
    <w:rsid w:val="00625C23"/>
    <w:rsid w:val="00625D32"/>
    <w:rsid w:val="006263A6"/>
    <w:rsid w:val="0062649A"/>
    <w:rsid w:val="00626887"/>
    <w:rsid w:val="00626C12"/>
    <w:rsid w:val="00626DE0"/>
    <w:rsid w:val="00626F49"/>
    <w:rsid w:val="00626FF2"/>
    <w:rsid w:val="006270CF"/>
    <w:rsid w:val="006270F8"/>
    <w:rsid w:val="00627166"/>
    <w:rsid w:val="006271CF"/>
    <w:rsid w:val="0062757D"/>
    <w:rsid w:val="00627593"/>
    <w:rsid w:val="006278F9"/>
    <w:rsid w:val="00627E8B"/>
    <w:rsid w:val="00630189"/>
    <w:rsid w:val="006305E3"/>
    <w:rsid w:val="0063061D"/>
    <w:rsid w:val="00630901"/>
    <w:rsid w:val="00630B7F"/>
    <w:rsid w:val="00631731"/>
    <w:rsid w:val="00631BCC"/>
    <w:rsid w:val="00631E25"/>
    <w:rsid w:val="00631F8E"/>
    <w:rsid w:val="0063212D"/>
    <w:rsid w:val="0063298E"/>
    <w:rsid w:val="00632BA5"/>
    <w:rsid w:val="00633301"/>
    <w:rsid w:val="00633402"/>
    <w:rsid w:val="0063389E"/>
    <w:rsid w:val="006338BB"/>
    <w:rsid w:val="00633A9E"/>
    <w:rsid w:val="0063400C"/>
    <w:rsid w:val="006347DC"/>
    <w:rsid w:val="0063486F"/>
    <w:rsid w:val="006348EB"/>
    <w:rsid w:val="00634AB5"/>
    <w:rsid w:val="00634F0C"/>
    <w:rsid w:val="006353BC"/>
    <w:rsid w:val="006357FF"/>
    <w:rsid w:val="00635D1B"/>
    <w:rsid w:val="00635EF2"/>
    <w:rsid w:val="00636301"/>
    <w:rsid w:val="006363D6"/>
    <w:rsid w:val="0063699B"/>
    <w:rsid w:val="00636C5D"/>
    <w:rsid w:val="00636CAC"/>
    <w:rsid w:val="00636EE9"/>
    <w:rsid w:val="006374DF"/>
    <w:rsid w:val="006375BD"/>
    <w:rsid w:val="00637852"/>
    <w:rsid w:val="0063788B"/>
    <w:rsid w:val="006379A1"/>
    <w:rsid w:val="00637A5D"/>
    <w:rsid w:val="00637F91"/>
    <w:rsid w:val="006404D4"/>
    <w:rsid w:val="006404DE"/>
    <w:rsid w:val="00640727"/>
    <w:rsid w:val="00640950"/>
    <w:rsid w:val="00640C0A"/>
    <w:rsid w:val="00640D20"/>
    <w:rsid w:val="00640FC0"/>
    <w:rsid w:val="0064128B"/>
    <w:rsid w:val="0064146E"/>
    <w:rsid w:val="0064167D"/>
    <w:rsid w:val="00641A1E"/>
    <w:rsid w:val="00641AE7"/>
    <w:rsid w:val="00642629"/>
    <w:rsid w:val="00642B7D"/>
    <w:rsid w:val="00642F5D"/>
    <w:rsid w:val="00643128"/>
    <w:rsid w:val="00643267"/>
    <w:rsid w:val="0064334C"/>
    <w:rsid w:val="006435D3"/>
    <w:rsid w:val="006436A6"/>
    <w:rsid w:val="00643C45"/>
    <w:rsid w:val="00643DDD"/>
    <w:rsid w:val="0064477F"/>
    <w:rsid w:val="006448C9"/>
    <w:rsid w:val="006448F6"/>
    <w:rsid w:val="00644C8E"/>
    <w:rsid w:val="00644CB0"/>
    <w:rsid w:val="00644EFA"/>
    <w:rsid w:val="00644FA5"/>
    <w:rsid w:val="00645521"/>
    <w:rsid w:val="006456F0"/>
    <w:rsid w:val="00645B25"/>
    <w:rsid w:val="00645B31"/>
    <w:rsid w:val="00645B33"/>
    <w:rsid w:val="00645CD7"/>
    <w:rsid w:val="00645D23"/>
    <w:rsid w:val="006467EC"/>
    <w:rsid w:val="00646ADF"/>
    <w:rsid w:val="00646CB7"/>
    <w:rsid w:val="00647049"/>
    <w:rsid w:val="0064704B"/>
    <w:rsid w:val="0064709C"/>
    <w:rsid w:val="006471A6"/>
    <w:rsid w:val="00647492"/>
    <w:rsid w:val="0064759A"/>
    <w:rsid w:val="0064782B"/>
    <w:rsid w:val="00647ACD"/>
    <w:rsid w:val="00647E10"/>
    <w:rsid w:val="00650110"/>
    <w:rsid w:val="006501A2"/>
    <w:rsid w:val="00650319"/>
    <w:rsid w:val="006507A0"/>
    <w:rsid w:val="00650E03"/>
    <w:rsid w:val="006514A5"/>
    <w:rsid w:val="0065161E"/>
    <w:rsid w:val="0065202B"/>
    <w:rsid w:val="006523F9"/>
    <w:rsid w:val="0065241A"/>
    <w:rsid w:val="00652742"/>
    <w:rsid w:val="0065293D"/>
    <w:rsid w:val="00652B6E"/>
    <w:rsid w:val="00652D59"/>
    <w:rsid w:val="0065300C"/>
    <w:rsid w:val="00653026"/>
    <w:rsid w:val="00653628"/>
    <w:rsid w:val="0065370F"/>
    <w:rsid w:val="00653B7F"/>
    <w:rsid w:val="00653C20"/>
    <w:rsid w:val="00653DDE"/>
    <w:rsid w:val="00653EFC"/>
    <w:rsid w:val="00654021"/>
    <w:rsid w:val="00654093"/>
    <w:rsid w:val="006544A9"/>
    <w:rsid w:val="0065467B"/>
    <w:rsid w:val="006549F2"/>
    <w:rsid w:val="00654B93"/>
    <w:rsid w:val="00654C8B"/>
    <w:rsid w:val="00655123"/>
    <w:rsid w:val="006559A0"/>
    <w:rsid w:val="00655D40"/>
    <w:rsid w:val="00655FC5"/>
    <w:rsid w:val="00655FFA"/>
    <w:rsid w:val="006564A4"/>
    <w:rsid w:val="006565E7"/>
    <w:rsid w:val="006566B3"/>
    <w:rsid w:val="00656861"/>
    <w:rsid w:val="0065787B"/>
    <w:rsid w:val="0065796B"/>
    <w:rsid w:val="00657C11"/>
    <w:rsid w:val="00657FAE"/>
    <w:rsid w:val="006607B8"/>
    <w:rsid w:val="006607E1"/>
    <w:rsid w:val="006608B7"/>
    <w:rsid w:val="00660A0A"/>
    <w:rsid w:val="00660C79"/>
    <w:rsid w:val="00660CA2"/>
    <w:rsid w:val="00660D5F"/>
    <w:rsid w:val="00661045"/>
    <w:rsid w:val="00661153"/>
    <w:rsid w:val="006611D9"/>
    <w:rsid w:val="00661244"/>
    <w:rsid w:val="00661817"/>
    <w:rsid w:val="006618A2"/>
    <w:rsid w:val="0066198E"/>
    <w:rsid w:val="0066199D"/>
    <w:rsid w:val="00661EAA"/>
    <w:rsid w:val="00661FEC"/>
    <w:rsid w:val="0066219F"/>
    <w:rsid w:val="006625B0"/>
    <w:rsid w:val="00662681"/>
    <w:rsid w:val="006628D9"/>
    <w:rsid w:val="00662B9F"/>
    <w:rsid w:val="006631B3"/>
    <w:rsid w:val="0066320A"/>
    <w:rsid w:val="0066356F"/>
    <w:rsid w:val="0066368F"/>
    <w:rsid w:val="006637E5"/>
    <w:rsid w:val="00663849"/>
    <w:rsid w:val="006638E3"/>
    <w:rsid w:val="00663B7F"/>
    <w:rsid w:val="00663D12"/>
    <w:rsid w:val="00663E64"/>
    <w:rsid w:val="00663EC0"/>
    <w:rsid w:val="00663FBF"/>
    <w:rsid w:val="00664415"/>
    <w:rsid w:val="0066441F"/>
    <w:rsid w:val="00664B18"/>
    <w:rsid w:val="00664B7C"/>
    <w:rsid w:val="006650FE"/>
    <w:rsid w:val="0066515F"/>
    <w:rsid w:val="00665B85"/>
    <w:rsid w:val="00665BE7"/>
    <w:rsid w:val="00665C6D"/>
    <w:rsid w:val="00665DB9"/>
    <w:rsid w:val="006660CE"/>
    <w:rsid w:val="0066617B"/>
    <w:rsid w:val="00666574"/>
    <w:rsid w:val="00666BAD"/>
    <w:rsid w:val="00666DA8"/>
    <w:rsid w:val="00666E06"/>
    <w:rsid w:val="00666E6C"/>
    <w:rsid w:val="0066719A"/>
    <w:rsid w:val="00667AF4"/>
    <w:rsid w:val="00667D50"/>
    <w:rsid w:val="00667ED4"/>
    <w:rsid w:val="00670270"/>
    <w:rsid w:val="00670394"/>
    <w:rsid w:val="00670643"/>
    <w:rsid w:val="00670A91"/>
    <w:rsid w:val="00670D6E"/>
    <w:rsid w:val="00671057"/>
    <w:rsid w:val="0067115D"/>
    <w:rsid w:val="0067179F"/>
    <w:rsid w:val="00671C09"/>
    <w:rsid w:val="006720F4"/>
    <w:rsid w:val="00672612"/>
    <w:rsid w:val="0067263A"/>
    <w:rsid w:val="006726BC"/>
    <w:rsid w:val="006727A8"/>
    <w:rsid w:val="00672E3F"/>
    <w:rsid w:val="00672F30"/>
    <w:rsid w:val="00672FB1"/>
    <w:rsid w:val="0067304F"/>
    <w:rsid w:val="0067314E"/>
    <w:rsid w:val="00673176"/>
    <w:rsid w:val="00673581"/>
    <w:rsid w:val="006735D5"/>
    <w:rsid w:val="00673D10"/>
    <w:rsid w:val="00673F2A"/>
    <w:rsid w:val="00673F49"/>
    <w:rsid w:val="00674058"/>
    <w:rsid w:val="006743E9"/>
    <w:rsid w:val="00674458"/>
    <w:rsid w:val="006745AE"/>
    <w:rsid w:val="00674713"/>
    <w:rsid w:val="006749B2"/>
    <w:rsid w:val="00674B49"/>
    <w:rsid w:val="00674C44"/>
    <w:rsid w:val="00674DC7"/>
    <w:rsid w:val="0067506C"/>
    <w:rsid w:val="006751B8"/>
    <w:rsid w:val="006751CD"/>
    <w:rsid w:val="00675461"/>
    <w:rsid w:val="006757A1"/>
    <w:rsid w:val="00675A79"/>
    <w:rsid w:val="00675AAF"/>
    <w:rsid w:val="00675B9A"/>
    <w:rsid w:val="00675CBA"/>
    <w:rsid w:val="0067600A"/>
    <w:rsid w:val="0067641A"/>
    <w:rsid w:val="00676680"/>
    <w:rsid w:val="006769A9"/>
    <w:rsid w:val="006770D5"/>
    <w:rsid w:val="00677222"/>
    <w:rsid w:val="00677352"/>
    <w:rsid w:val="00677432"/>
    <w:rsid w:val="0067752E"/>
    <w:rsid w:val="00677AFD"/>
    <w:rsid w:val="00677C30"/>
    <w:rsid w:val="00677CD3"/>
    <w:rsid w:val="0068031A"/>
    <w:rsid w:val="00680B02"/>
    <w:rsid w:val="00680E54"/>
    <w:rsid w:val="006810BA"/>
    <w:rsid w:val="00681209"/>
    <w:rsid w:val="00681446"/>
    <w:rsid w:val="006815E6"/>
    <w:rsid w:val="0068183A"/>
    <w:rsid w:val="00681B2F"/>
    <w:rsid w:val="00681D37"/>
    <w:rsid w:val="00681D3C"/>
    <w:rsid w:val="00682062"/>
    <w:rsid w:val="00682321"/>
    <w:rsid w:val="006824B6"/>
    <w:rsid w:val="00682CE3"/>
    <w:rsid w:val="00682F81"/>
    <w:rsid w:val="0068335F"/>
    <w:rsid w:val="00683869"/>
    <w:rsid w:val="0068388A"/>
    <w:rsid w:val="00683AE7"/>
    <w:rsid w:val="0068404B"/>
    <w:rsid w:val="006841D0"/>
    <w:rsid w:val="00684283"/>
    <w:rsid w:val="006842FE"/>
    <w:rsid w:val="0068435A"/>
    <w:rsid w:val="00684378"/>
    <w:rsid w:val="00684406"/>
    <w:rsid w:val="00684471"/>
    <w:rsid w:val="00684652"/>
    <w:rsid w:val="00684800"/>
    <w:rsid w:val="00685120"/>
    <w:rsid w:val="00685286"/>
    <w:rsid w:val="006853DD"/>
    <w:rsid w:val="006853FE"/>
    <w:rsid w:val="00685A2D"/>
    <w:rsid w:val="006861F4"/>
    <w:rsid w:val="00686291"/>
    <w:rsid w:val="00686343"/>
    <w:rsid w:val="0068651C"/>
    <w:rsid w:val="006865CC"/>
    <w:rsid w:val="00686A29"/>
    <w:rsid w:val="00686FD3"/>
    <w:rsid w:val="0068702A"/>
    <w:rsid w:val="00687217"/>
    <w:rsid w:val="006872F7"/>
    <w:rsid w:val="006875B9"/>
    <w:rsid w:val="00687711"/>
    <w:rsid w:val="00687E13"/>
    <w:rsid w:val="00687EA4"/>
    <w:rsid w:val="00690432"/>
    <w:rsid w:val="006907F7"/>
    <w:rsid w:val="00690852"/>
    <w:rsid w:val="0069094A"/>
    <w:rsid w:val="006909EB"/>
    <w:rsid w:val="00690EBB"/>
    <w:rsid w:val="006910A3"/>
    <w:rsid w:val="006914A1"/>
    <w:rsid w:val="006916F7"/>
    <w:rsid w:val="00691866"/>
    <w:rsid w:val="006918B3"/>
    <w:rsid w:val="006918C8"/>
    <w:rsid w:val="00691F57"/>
    <w:rsid w:val="0069265A"/>
    <w:rsid w:val="00692818"/>
    <w:rsid w:val="00692892"/>
    <w:rsid w:val="00692A63"/>
    <w:rsid w:val="00692B34"/>
    <w:rsid w:val="00692BB7"/>
    <w:rsid w:val="00692D80"/>
    <w:rsid w:val="00692DC3"/>
    <w:rsid w:val="00692F5E"/>
    <w:rsid w:val="006931A0"/>
    <w:rsid w:val="00693302"/>
    <w:rsid w:val="00693620"/>
    <w:rsid w:val="006936F4"/>
    <w:rsid w:val="00693BC5"/>
    <w:rsid w:val="0069429B"/>
    <w:rsid w:val="00694518"/>
    <w:rsid w:val="00694A98"/>
    <w:rsid w:val="00695231"/>
    <w:rsid w:val="006954D9"/>
    <w:rsid w:val="006960A3"/>
    <w:rsid w:val="006960F6"/>
    <w:rsid w:val="0069640B"/>
    <w:rsid w:val="006964F3"/>
    <w:rsid w:val="0069650B"/>
    <w:rsid w:val="006965AF"/>
    <w:rsid w:val="006969FD"/>
    <w:rsid w:val="00696CD0"/>
    <w:rsid w:val="0069737B"/>
    <w:rsid w:val="0069780C"/>
    <w:rsid w:val="006978BC"/>
    <w:rsid w:val="00697941"/>
    <w:rsid w:val="00697E69"/>
    <w:rsid w:val="00697F8B"/>
    <w:rsid w:val="006A01BF"/>
    <w:rsid w:val="006A033F"/>
    <w:rsid w:val="006A09AA"/>
    <w:rsid w:val="006A0A2A"/>
    <w:rsid w:val="006A0BB9"/>
    <w:rsid w:val="006A1140"/>
    <w:rsid w:val="006A1151"/>
    <w:rsid w:val="006A1287"/>
    <w:rsid w:val="006A155A"/>
    <w:rsid w:val="006A1B83"/>
    <w:rsid w:val="006A1CD0"/>
    <w:rsid w:val="006A21CD"/>
    <w:rsid w:val="006A24EF"/>
    <w:rsid w:val="006A2616"/>
    <w:rsid w:val="006A34E3"/>
    <w:rsid w:val="006A35B8"/>
    <w:rsid w:val="006A3901"/>
    <w:rsid w:val="006A394C"/>
    <w:rsid w:val="006A3AEB"/>
    <w:rsid w:val="006A3CBA"/>
    <w:rsid w:val="006A3D41"/>
    <w:rsid w:val="006A3D63"/>
    <w:rsid w:val="006A3E75"/>
    <w:rsid w:val="006A3E7D"/>
    <w:rsid w:val="006A4259"/>
    <w:rsid w:val="006A4A1E"/>
    <w:rsid w:val="006A4D28"/>
    <w:rsid w:val="006A4F8A"/>
    <w:rsid w:val="006A4FB2"/>
    <w:rsid w:val="006A53F6"/>
    <w:rsid w:val="006A54EF"/>
    <w:rsid w:val="006A5918"/>
    <w:rsid w:val="006A605C"/>
    <w:rsid w:val="006A64EA"/>
    <w:rsid w:val="006A6502"/>
    <w:rsid w:val="006A65AA"/>
    <w:rsid w:val="006A670B"/>
    <w:rsid w:val="006A676D"/>
    <w:rsid w:val="006A6ABA"/>
    <w:rsid w:val="006A6C27"/>
    <w:rsid w:val="006A6E0B"/>
    <w:rsid w:val="006A6F32"/>
    <w:rsid w:val="006A722D"/>
    <w:rsid w:val="006A72AD"/>
    <w:rsid w:val="006A76F3"/>
    <w:rsid w:val="006A7D33"/>
    <w:rsid w:val="006B0218"/>
    <w:rsid w:val="006B02B6"/>
    <w:rsid w:val="006B0520"/>
    <w:rsid w:val="006B055A"/>
    <w:rsid w:val="006B0D51"/>
    <w:rsid w:val="006B0DAD"/>
    <w:rsid w:val="006B0DE5"/>
    <w:rsid w:val="006B0FE1"/>
    <w:rsid w:val="006B1095"/>
    <w:rsid w:val="006B14E6"/>
    <w:rsid w:val="006B160E"/>
    <w:rsid w:val="006B16AC"/>
    <w:rsid w:val="006B1B42"/>
    <w:rsid w:val="006B1E9C"/>
    <w:rsid w:val="006B1F51"/>
    <w:rsid w:val="006B1FA4"/>
    <w:rsid w:val="006B2187"/>
    <w:rsid w:val="006B21B2"/>
    <w:rsid w:val="006B2280"/>
    <w:rsid w:val="006B23DE"/>
    <w:rsid w:val="006B2674"/>
    <w:rsid w:val="006B27A0"/>
    <w:rsid w:val="006B2D6C"/>
    <w:rsid w:val="006B31A8"/>
    <w:rsid w:val="006B3207"/>
    <w:rsid w:val="006B32DF"/>
    <w:rsid w:val="006B3301"/>
    <w:rsid w:val="006B34D5"/>
    <w:rsid w:val="006B3528"/>
    <w:rsid w:val="006B3A9A"/>
    <w:rsid w:val="006B3B84"/>
    <w:rsid w:val="006B40C6"/>
    <w:rsid w:val="006B4611"/>
    <w:rsid w:val="006B4A4A"/>
    <w:rsid w:val="006B4B35"/>
    <w:rsid w:val="006B5317"/>
    <w:rsid w:val="006B5330"/>
    <w:rsid w:val="006B53E2"/>
    <w:rsid w:val="006B5906"/>
    <w:rsid w:val="006B6284"/>
    <w:rsid w:val="006B6495"/>
    <w:rsid w:val="006B651E"/>
    <w:rsid w:val="006B67CC"/>
    <w:rsid w:val="006B6875"/>
    <w:rsid w:val="006B68F6"/>
    <w:rsid w:val="006B68FD"/>
    <w:rsid w:val="006B70FB"/>
    <w:rsid w:val="006B734F"/>
    <w:rsid w:val="006B74E3"/>
    <w:rsid w:val="006B75C4"/>
    <w:rsid w:val="006B75F7"/>
    <w:rsid w:val="006B7A9B"/>
    <w:rsid w:val="006B7ABE"/>
    <w:rsid w:val="006B7CA9"/>
    <w:rsid w:val="006C0193"/>
    <w:rsid w:val="006C0524"/>
    <w:rsid w:val="006C063F"/>
    <w:rsid w:val="006C0773"/>
    <w:rsid w:val="006C117D"/>
    <w:rsid w:val="006C1271"/>
    <w:rsid w:val="006C139F"/>
    <w:rsid w:val="006C15F5"/>
    <w:rsid w:val="006C161B"/>
    <w:rsid w:val="006C19B2"/>
    <w:rsid w:val="006C1CB9"/>
    <w:rsid w:val="006C2017"/>
    <w:rsid w:val="006C28E1"/>
    <w:rsid w:val="006C29F4"/>
    <w:rsid w:val="006C2AAE"/>
    <w:rsid w:val="006C2B27"/>
    <w:rsid w:val="006C2CBF"/>
    <w:rsid w:val="006C2D25"/>
    <w:rsid w:val="006C2F24"/>
    <w:rsid w:val="006C301F"/>
    <w:rsid w:val="006C3944"/>
    <w:rsid w:val="006C39CA"/>
    <w:rsid w:val="006C4059"/>
    <w:rsid w:val="006C4409"/>
    <w:rsid w:val="006C4AFF"/>
    <w:rsid w:val="006C504D"/>
    <w:rsid w:val="006C528C"/>
    <w:rsid w:val="006C5344"/>
    <w:rsid w:val="006C5494"/>
    <w:rsid w:val="006C5863"/>
    <w:rsid w:val="006C5A97"/>
    <w:rsid w:val="006C5BB8"/>
    <w:rsid w:val="006C5DA6"/>
    <w:rsid w:val="006C5E0D"/>
    <w:rsid w:val="006C685E"/>
    <w:rsid w:val="006C6936"/>
    <w:rsid w:val="006C695C"/>
    <w:rsid w:val="006C6DDC"/>
    <w:rsid w:val="006C70B1"/>
    <w:rsid w:val="006C7519"/>
    <w:rsid w:val="006C7750"/>
    <w:rsid w:val="006C79AA"/>
    <w:rsid w:val="006C7B01"/>
    <w:rsid w:val="006C7B91"/>
    <w:rsid w:val="006C7C09"/>
    <w:rsid w:val="006C7C52"/>
    <w:rsid w:val="006C7E07"/>
    <w:rsid w:val="006C7E9F"/>
    <w:rsid w:val="006D0099"/>
    <w:rsid w:val="006D020E"/>
    <w:rsid w:val="006D025F"/>
    <w:rsid w:val="006D0B74"/>
    <w:rsid w:val="006D0E1C"/>
    <w:rsid w:val="006D0FE8"/>
    <w:rsid w:val="006D134B"/>
    <w:rsid w:val="006D1C2B"/>
    <w:rsid w:val="006D20A6"/>
    <w:rsid w:val="006D21AB"/>
    <w:rsid w:val="006D2310"/>
    <w:rsid w:val="006D234D"/>
    <w:rsid w:val="006D24BF"/>
    <w:rsid w:val="006D2522"/>
    <w:rsid w:val="006D2597"/>
    <w:rsid w:val="006D267F"/>
    <w:rsid w:val="006D278F"/>
    <w:rsid w:val="006D2F34"/>
    <w:rsid w:val="006D3024"/>
    <w:rsid w:val="006D3172"/>
    <w:rsid w:val="006D3A8F"/>
    <w:rsid w:val="006D3FF7"/>
    <w:rsid w:val="006D4919"/>
    <w:rsid w:val="006D4B2B"/>
    <w:rsid w:val="006D4D88"/>
    <w:rsid w:val="006D4F3C"/>
    <w:rsid w:val="006D5AB1"/>
    <w:rsid w:val="006D5C66"/>
    <w:rsid w:val="006D5E45"/>
    <w:rsid w:val="006D6151"/>
    <w:rsid w:val="006D68F0"/>
    <w:rsid w:val="006D6ED2"/>
    <w:rsid w:val="006D6FAC"/>
    <w:rsid w:val="006D7002"/>
    <w:rsid w:val="006D706C"/>
    <w:rsid w:val="006D7336"/>
    <w:rsid w:val="006D733F"/>
    <w:rsid w:val="006D7BA0"/>
    <w:rsid w:val="006D7C9B"/>
    <w:rsid w:val="006D7EE9"/>
    <w:rsid w:val="006E0005"/>
    <w:rsid w:val="006E0277"/>
    <w:rsid w:val="006E030D"/>
    <w:rsid w:val="006E0358"/>
    <w:rsid w:val="006E03AD"/>
    <w:rsid w:val="006E0556"/>
    <w:rsid w:val="006E0707"/>
    <w:rsid w:val="006E120F"/>
    <w:rsid w:val="006E162F"/>
    <w:rsid w:val="006E1719"/>
    <w:rsid w:val="006E19F2"/>
    <w:rsid w:val="006E1AD0"/>
    <w:rsid w:val="006E1B3C"/>
    <w:rsid w:val="006E1C17"/>
    <w:rsid w:val="006E1C41"/>
    <w:rsid w:val="006E1F65"/>
    <w:rsid w:val="006E23FB"/>
    <w:rsid w:val="006E2B33"/>
    <w:rsid w:val="006E2CF4"/>
    <w:rsid w:val="006E3151"/>
    <w:rsid w:val="006E325A"/>
    <w:rsid w:val="006E33EC"/>
    <w:rsid w:val="006E34D1"/>
    <w:rsid w:val="006E3802"/>
    <w:rsid w:val="006E3D8A"/>
    <w:rsid w:val="006E429A"/>
    <w:rsid w:val="006E444E"/>
    <w:rsid w:val="006E4776"/>
    <w:rsid w:val="006E47C0"/>
    <w:rsid w:val="006E47F3"/>
    <w:rsid w:val="006E4AA9"/>
    <w:rsid w:val="006E4B0B"/>
    <w:rsid w:val="006E4E27"/>
    <w:rsid w:val="006E5041"/>
    <w:rsid w:val="006E522A"/>
    <w:rsid w:val="006E52B9"/>
    <w:rsid w:val="006E55E8"/>
    <w:rsid w:val="006E5EFE"/>
    <w:rsid w:val="006E5F6E"/>
    <w:rsid w:val="006E5FC1"/>
    <w:rsid w:val="006E648F"/>
    <w:rsid w:val="006E655A"/>
    <w:rsid w:val="006E6581"/>
    <w:rsid w:val="006E66CA"/>
    <w:rsid w:val="006E6C02"/>
    <w:rsid w:val="006E6D17"/>
    <w:rsid w:val="006E751A"/>
    <w:rsid w:val="006E758F"/>
    <w:rsid w:val="006E7733"/>
    <w:rsid w:val="006E794B"/>
    <w:rsid w:val="006F0204"/>
    <w:rsid w:val="006F0598"/>
    <w:rsid w:val="006F065B"/>
    <w:rsid w:val="006F09FA"/>
    <w:rsid w:val="006F0A80"/>
    <w:rsid w:val="006F0AAB"/>
    <w:rsid w:val="006F0D32"/>
    <w:rsid w:val="006F1030"/>
    <w:rsid w:val="006F112D"/>
    <w:rsid w:val="006F1158"/>
    <w:rsid w:val="006F1232"/>
    <w:rsid w:val="006F14B9"/>
    <w:rsid w:val="006F179B"/>
    <w:rsid w:val="006F1EBB"/>
    <w:rsid w:val="006F231A"/>
    <w:rsid w:val="006F237B"/>
    <w:rsid w:val="006F2380"/>
    <w:rsid w:val="006F24A9"/>
    <w:rsid w:val="006F2526"/>
    <w:rsid w:val="006F2768"/>
    <w:rsid w:val="006F27B4"/>
    <w:rsid w:val="006F2B9E"/>
    <w:rsid w:val="006F3070"/>
    <w:rsid w:val="006F3395"/>
    <w:rsid w:val="006F3D2A"/>
    <w:rsid w:val="006F44ED"/>
    <w:rsid w:val="006F455F"/>
    <w:rsid w:val="006F47CA"/>
    <w:rsid w:val="006F4CF1"/>
    <w:rsid w:val="006F51C0"/>
    <w:rsid w:val="006F52FF"/>
    <w:rsid w:val="006F55D6"/>
    <w:rsid w:val="006F5716"/>
    <w:rsid w:val="006F5B31"/>
    <w:rsid w:val="006F5DA1"/>
    <w:rsid w:val="006F60D4"/>
    <w:rsid w:val="006F65DF"/>
    <w:rsid w:val="006F6731"/>
    <w:rsid w:val="006F6774"/>
    <w:rsid w:val="006F6ACE"/>
    <w:rsid w:val="006F6ADA"/>
    <w:rsid w:val="006F6B55"/>
    <w:rsid w:val="006F71C8"/>
    <w:rsid w:val="006F770C"/>
    <w:rsid w:val="006F788D"/>
    <w:rsid w:val="006F78E1"/>
    <w:rsid w:val="006F7BD0"/>
    <w:rsid w:val="006F7D62"/>
    <w:rsid w:val="0070015A"/>
    <w:rsid w:val="00700343"/>
    <w:rsid w:val="00700481"/>
    <w:rsid w:val="0070053D"/>
    <w:rsid w:val="00700974"/>
    <w:rsid w:val="00700AE8"/>
    <w:rsid w:val="00700C43"/>
    <w:rsid w:val="00701072"/>
    <w:rsid w:val="0070124A"/>
    <w:rsid w:val="00701473"/>
    <w:rsid w:val="00701772"/>
    <w:rsid w:val="0070192D"/>
    <w:rsid w:val="00702054"/>
    <w:rsid w:val="00702196"/>
    <w:rsid w:val="007023C6"/>
    <w:rsid w:val="00702533"/>
    <w:rsid w:val="0070257B"/>
    <w:rsid w:val="00702592"/>
    <w:rsid w:val="007026F7"/>
    <w:rsid w:val="00702CB9"/>
    <w:rsid w:val="00702CFE"/>
    <w:rsid w:val="00702DEF"/>
    <w:rsid w:val="00703283"/>
    <w:rsid w:val="0070359E"/>
    <w:rsid w:val="007035A4"/>
    <w:rsid w:val="0070363F"/>
    <w:rsid w:val="007038A0"/>
    <w:rsid w:val="0070397F"/>
    <w:rsid w:val="0070410F"/>
    <w:rsid w:val="007048FB"/>
    <w:rsid w:val="00704AF5"/>
    <w:rsid w:val="0070506F"/>
    <w:rsid w:val="007056A9"/>
    <w:rsid w:val="00705B7F"/>
    <w:rsid w:val="00706617"/>
    <w:rsid w:val="007066D4"/>
    <w:rsid w:val="00707094"/>
    <w:rsid w:val="007072A3"/>
    <w:rsid w:val="00707418"/>
    <w:rsid w:val="0070777D"/>
    <w:rsid w:val="007078B0"/>
    <w:rsid w:val="00707930"/>
    <w:rsid w:val="007079C4"/>
    <w:rsid w:val="00707B39"/>
    <w:rsid w:val="00707C28"/>
    <w:rsid w:val="00707CA4"/>
    <w:rsid w:val="00707FF3"/>
    <w:rsid w:val="00710205"/>
    <w:rsid w:val="0071048E"/>
    <w:rsid w:val="0071054D"/>
    <w:rsid w:val="00710724"/>
    <w:rsid w:val="00710EC6"/>
    <w:rsid w:val="00711208"/>
    <w:rsid w:val="00711722"/>
    <w:rsid w:val="00711799"/>
    <w:rsid w:val="0071189C"/>
    <w:rsid w:val="0071192F"/>
    <w:rsid w:val="00711F2F"/>
    <w:rsid w:val="0071238E"/>
    <w:rsid w:val="007124EF"/>
    <w:rsid w:val="00712533"/>
    <w:rsid w:val="007125C5"/>
    <w:rsid w:val="00712B78"/>
    <w:rsid w:val="00713274"/>
    <w:rsid w:val="00713568"/>
    <w:rsid w:val="007136DF"/>
    <w:rsid w:val="0071393B"/>
    <w:rsid w:val="00713A75"/>
    <w:rsid w:val="00713AC3"/>
    <w:rsid w:val="00713EE2"/>
    <w:rsid w:val="0071402E"/>
    <w:rsid w:val="00714074"/>
    <w:rsid w:val="00714147"/>
    <w:rsid w:val="00714333"/>
    <w:rsid w:val="007145FF"/>
    <w:rsid w:val="00714634"/>
    <w:rsid w:val="007151B6"/>
    <w:rsid w:val="00715FAD"/>
    <w:rsid w:val="00716206"/>
    <w:rsid w:val="007166F4"/>
    <w:rsid w:val="00716A79"/>
    <w:rsid w:val="00716B6D"/>
    <w:rsid w:val="00716D44"/>
    <w:rsid w:val="00717521"/>
    <w:rsid w:val="007176D2"/>
    <w:rsid w:val="007177E5"/>
    <w:rsid w:val="007177FC"/>
    <w:rsid w:val="00717F8D"/>
    <w:rsid w:val="00720103"/>
    <w:rsid w:val="00720369"/>
    <w:rsid w:val="0072063A"/>
    <w:rsid w:val="00720986"/>
    <w:rsid w:val="00720A9C"/>
    <w:rsid w:val="00720C5E"/>
    <w:rsid w:val="00720FAF"/>
    <w:rsid w:val="00720FE7"/>
    <w:rsid w:val="0072109B"/>
    <w:rsid w:val="007215DC"/>
    <w:rsid w:val="007216EB"/>
    <w:rsid w:val="00721701"/>
    <w:rsid w:val="00721B49"/>
    <w:rsid w:val="00721BF0"/>
    <w:rsid w:val="00721E75"/>
    <w:rsid w:val="00722535"/>
    <w:rsid w:val="007225A6"/>
    <w:rsid w:val="00722966"/>
    <w:rsid w:val="007229F2"/>
    <w:rsid w:val="00723314"/>
    <w:rsid w:val="007234B3"/>
    <w:rsid w:val="00723590"/>
    <w:rsid w:val="007235F8"/>
    <w:rsid w:val="00723772"/>
    <w:rsid w:val="007238B2"/>
    <w:rsid w:val="00723B93"/>
    <w:rsid w:val="007240BF"/>
    <w:rsid w:val="007243AC"/>
    <w:rsid w:val="00724A5D"/>
    <w:rsid w:val="00724D8F"/>
    <w:rsid w:val="00725047"/>
    <w:rsid w:val="007251FE"/>
    <w:rsid w:val="0072520B"/>
    <w:rsid w:val="00725304"/>
    <w:rsid w:val="007253D0"/>
    <w:rsid w:val="00725533"/>
    <w:rsid w:val="00725BA0"/>
    <w:rsid w:val="00725CD4"/>
    <w:rsid w:val="00726798"/>
    <w:rsid w:val="00726B10"/>
    <w:rsid w:val="00726B56"/>
    <w:rsid w:val="00726DB3"/>
    <w:rsid w:val="00726F21"/>
    <w:rsid w:val="00727016"/>
    <w:rsid w:val="0072702A"/>
    <w:rsid w:val="007271BE"/>
    <w:rsid w:val="0072723F"/>
    <w:rsid w:val="007272D3"/>
    <w:rsid w:val="00727478"/>
    <w:rsid w:val="00727A30"/>
    <w:rsid w:val="00727BD5"/>
    <w:rsid w:val="00727FED"/>
    <w:rsid w:val="00730049"/>
    <w:rsid w:val="0073068C"/>
    <w:rsid w:val="007306CD"/>
    <w:rsid w:val="00730BDC"/>
    <w:rsid w:val="007312AB"/>
    <w:rsid w:val="00731835"/>
    <w:rsid w:val="00731AA3"/>
    <w:rsid w:val="00731CAB"/>
    <w:rsid w:val="00732099"/>
    <w:rsid w:val="0073254F"/>
    <w:rsid w:val="00732906"/>
    <w:rsid w:val="0073291B"/>
    <w:rsid w:val="00732B58"/>
    <w:rsid w:val="00732C77"/>
    <w:rsid w:val="00732E7D"/>
    <w:rsid w:val="007330BD"/>
    <w:rsid w:val="007332C3"/>
    <w:rsid w:val="00733476"/>
    <w:rsid w:val="00733771"/>
    <w:rsid w:val="007338E1"/>
    <w:rsid w:val="00733B05"/>
    <w:rsid w:val="00733C84"/>
    <w:rsid w:val="007341F8"/>
    <w:rsid w:val="00734372"/>
    <w:rsid w:val="0073453A"/>
    <w:rsid w:val="00734670"/>
    <w:rsid w:val="007346C8"/>
    <w:rsid w:val="0073476F"/>
    <w:rsid w:val="00734AF8"/>
    <w:rsid w:val="00734EB8"/>
    <w:rsid w:val="00734FA5"/>
    <w:rsid w:val="00735022"/>
    <w:rsid w:val="00735210"/>
    <w:rsid w:val="00735D75"/>
    <w:rsid w:val="00735E4A"/>
    <w:rsid w:val="00735F8B"/>
    <w:rsid w:val="00735FE8"/>
    <w:rsid w:val="00736243"/>
    <w:rsid w:val="0073667C"/>
    <w:rsid w:val="007366AD"/>
    <w:rsid w:val="007366E8"/>
    <w:rsid w:val="007369E8"/>
    <w:rsid w:val="00736B34"/>
    <w:rsid w:val="00736D5D"/>
    <w:rsid w:val="00737084"/>
    <w:rsid w:val="00737628"/>
    <w:rsid w:val="00737857"/>
    <w:rsid w:val="00737B5B"/>
    <w:rsid w:val="00737B62"/>
    <w:rsid w:val="00737BA1"/>
    <w:rsid w:val="00737DD2"/>
    <w:rsid w:val="00737EA8"/>
    <w:rsid w:val="0074011F"/>
    <w:rsid w:val="007402DB"/>
    <w:rsid w:val="00740567"/>
    <w:rsid w:val="0074090B"/>
    <w:rsid w:val="007418B7"/>
    <w:rsid w:val="00741BB8"/>
    <w:rsid w:val="00741F0A"/>
    <w:rsid w:val="00741FE8"/>
    <w:rsid w:val="0074204C"/>
    <w:rsid w:val="0074210B"/>
    <w:rsid w:val="007421C0"/>
    <w:rsid w:val="00742823"/>
    <w:rsid w:val="00742BB3"/>
    <w:rsid w:val="00742D1F"/>
    <w:rsid w:val="007432A0"/>
    <w:rsid w:val="00743EBA"/>
    <w:rsid w:val="00743FF4"/>
    <w:rsid w:val="0074406B"/>
    <w:rsid w:val="0074416D"/>
    <w:rsid w:val="0074422B"/>
    <w:rsid w:val="0074437C"/>
    <w:rsid w:val="00744395"/>
    <w:rsid w:val="007443C4"/>
    <w:rsid w:val="007448A0"/>
    <w:rsid w:val="00744A0B"/>
    <w:rsid w:val="00744B28"/>
    <w:rsid w:val="00744C8E"/>
    <w:rsid w:val="00744EAD"/>
    <w:rsid w:val="00744EBA"/>
    <w:rsid w:val="00745300"/>
    <w:rsid w:val="00745716"/>
    <w:rsid w:val="007458EE"/>
    <w:rsid w:val="00745BD8"/>
    <w:rsid w:val="007464CA"/>
    <w:rsid w:val="0074707E"/>
    <w:rsid w:val="007470AC"/>
    <w:rsid w:val="007470C7"/>
    <w:rsid w:val="00747311"/>
    <w:rsid w:val="0074747C"/>
    <w:rsid w:val="00747654"/>
    <w:rsid w:val="00747886"/>
    <w:rsid w:val="00747EDE"/>
    <w:rsid w:val="00750018"/>
    <w:rsid w:val="00750B0B"/>
    <w:rsid w:val="00750F3C"/>
    <w:rsid w:val="00751022"/>
    <w:rsid w:val="0075105E"/>
    <w:rsid w:val="0075108C"/>
    <w:rsid w:val="0075109B"/>
    <w:rsid w:val="00751498"/>
    <w:rsid w:val="00751506"/>
    <w:rsid w:val="007516DC"/>
    <w:rsid w:val="00751833"/>
    <w:rsid w:val="00751878"/>
    <w:rsid w:val="00751BE2"/>
    <w:rsid w:val="00751DF5"/>
    <w:rsid w:val="00752128"/>
    <w:rsid w:val="0075229B"/>
    <w:rsid w:val="0075247B"/>
    <w:rsid w:val="00752480"/>
    <w:rsid w:val="00752780"/>
    <w:rsid w:val="007528D2"/>
    <w:rsid w:val="00752A21"/>
    <w:rsid w:val="00752A8A"/>
    <w:rsid w:val="00752AFF"/>
    <w:rsid w:val="00752E58"/>
    <w:rsid w:val="00753681"/>
    <w:rsid w:val="00753838"/>
    <w:rsid w:val="00753C1E"/>
    <w:rsid w:val="00753E4A"/>
    <w:rsid w:val="007540D1"/>
    <w:rsid w:val="007542E4"/>
    <w:rsid w:val="00754720"/>
    <w:rsid w:val="007547FD"/>
    <w:rsid w:val="00754A59"/>
    <w:rsid w:val="00754A8A"/>
    <w:rsid w:val="00754B80"/>
    <w:rsid w:val="007551E1"/>
    <w:rsid w:val="0075551C"/>
    <w:rsid w:val="00755642"/>
    <w:rsid w:val="0075571F"/>
    <w:rsid w:val="007559FC"/>
    <w:rsid w:val="00755ABE"/>
    <w:rsid w:val="00755DB4"/>
    <w:rsid w:val="00755E18"/>
    <w:rsid w:val="00756201"/>
    <w:rsid w:val="00756495"/>
    <w:rsid w:val="00756759"/>
    <w:rsid w:val="00756829"/>
    <w:rsid w:val="00756950"/>
    <w:rsid w:val="00756F96"/>
    <w:rsid w:val="00757114"/>
    <w:rsid w:val="00757874"/>
    <w:rsid w:val="00757944"/>
    <w:rsid w:val="00757C83"/>
    <w:rsid w:val="00760A41"/>
    <w:rsid w:val="00760B63"/>
    <w:rsid w:val="00760F7B"/>
    <w:rsid w:val="0076107A"/>
    <w:rsid w:val="007614F1"/>
    <w:rsid w:val="007617F1"/>
    <w:rsid w:val="00761809"/>
    <w:rsid w:val="00761852"/>
    <w:rsid w:val="00761918"/>
    <w:rsid w:val="00761B58"/>
    <w:rsid w:val="00761BBF"/>
    <w:rsid w:val="00761C84"/>
    <w:rsid w:val="007620E9"/>
    <w:rsid w:val="00762131"/>
    <w:rsid w:val="00762152"/>
    <w:rsid w:val="00762541"/>
    <w:rsid w:val="007626FA"/>
    <w:rsid w:val="00762D42"/>
    <w:rsid w:val="00762EDA"/>
    <w:rsid w:val="00762F03"/>
    <w:rsid w:val="00763352"/>
    <w:rsid w:val="007635E6"/>
    <w:rsid w:val="00763755"/>
    <w:rsid w:val="00763F0B"/>
    <w:rsid w:val="00763F3E"/>
    <w:rsid w:val="0076413B"/>
    <w:rsid w:val="00764291"/>
    <w:rsid w:val="00764897"/>
    <w:rsid w:val="007648AE"/>
    <w:rsid w:val="00764940"/>
    <w:rsid w:val="00764961"/>
    <w:rsid w:val="00764BF8"/>
    <w:rsid w:val="00764E5C"/>
    <w:rsid w:val="00764FEE"/>
    <w:rsid w:val="0076514D"/>
    <w:rsid w:val="00765505"/>
    <w:rsid w:val="0076607B"/>
    <w:rsid w:val="007662E2"/>
    <w:rsid w:val="007663AA"/>
    <w:rsid w:val="00766427"/>
    <w:rsid w:val="0076654A"/>
    <w:rsid w:val="007665ED"/>
    <w:rsid w:val="00766F7F"/>
    <w:rsid w:val="0076708C"/>
    <w:rsid w:val="0076721C"/>
    <w:rsid w:val="0076731E"/>
    <w:rsid w:val="007673EC"/>
    <w:rsid w:val="00767E53"/>
    <w:rsid w:val="00767E75"/>
    <w:rsid w:val="00767EF6"/>
    <w:rsid w:val="0077006A"/>
    <w:rsid w:val="007702A7"/>
    <w:rsid w:val="00770E4A"/>
    <w:rsid w:val="00770F7A"/>
    <w:rsid w:val="00770FD6"/>
    <w:rsid w:val="00771296"/>
    <w:rsid w:val="007712B7"/>
    <w:rsid w:val="00771380"/>
    <w:rsid w:val="00771A19"/>
    <w:rsid w:val="00771B5D"/>
    <w:rsid w:val="00772320"/>
    <w:rsid w:val="00772572"/>
    <w:rsid w:val="007729D3"/>
    <w:rsid w:val="00773055"/>
    <w:rsid w:val="00773D59"/>
    <w:rsid w:val="007742E1"/>
    <w:rsid w:val="00774DA4"/>
    <w:rsid w:val="007750DB"/>
    <w:rsid w:val="007750FB"/>
    <w:rsid w:val="0077563E"/>
    <w:rsid w:val="00775F2E"/>
    <w:rsid w:val="0077602A"/>
    <w:rsid w:val="00776311"/>
    <w:rsid w:val="00776FE7"/>
    <w:rsid w:val="00777019"/>
    <w:rsid w:val="0077719C"/>
    <w:rsid w:val="00777494"/>
    <w:rsid w:val="00777A5B"/>
    <w:rsid w:val="00777BAD"/>
    <w:rsid w:val="0078003A"/>
    <w:rsid w:val="00780052"/>
    <w:rsid w:val="0078022B"/>
    <w:rsid w:val="007808EA"/>
    <w:rsid w:val="00780ED6"/>
    <w:rsid w:val="00781003"/>
    <w:rsid w:val="00781076"/>
    <w:rsid w:val="007812A6"/>
    <w:rsid w:val="0078155D"/>
    <w:rsid w:val="00781FC8"/>
    <w:rsid w:val="007821F5"/>
    <w:rsid w:val="007822BC"/>
    <w:rsid w:val="007828B5"/>
    <w:rsid w:val="00782AD4"/>
    <w:rsid w:val="00782F34"/>
    <w:rsid w:val="00783010"/>
    <w:rsid w:val="00783087"/>
    <w:rsid w:val="007832B1"/>
    <w:rsid w:val="0078381A"/>
    <w:rsid w:val="00783A0F"/>
    <w:rsid w:val="00783A21"/>
    <w:rsid w:val="00783D39"/>
    <w:rsid w:val="007840AF"/>
    <w:rsid w:val="00784412"/>
    <w:rsid w:val="007847DF"/>
    <w:rsid w:val="0078480F"/>
    <w:rsid w:val="00784ABD"/>
    <w:rsid w:val="00785473"/>
    <w:rsid w:val="00785481"/>
    <w:rsid w:val="0078585E"/>
    <w:rsid w:val="00785F8D"/>
    <w:rsid w:val="00786113"/>
    <w:rsid w:val="00786227"/>
    <w:rsid w:val="00786416"/>
    <w:rsid w:val="00786B50"/>
    <w:rsid w:val="007874D2"/>
    <w:rsid w:val="00787AC6"/>
    <w:rsid w:val="00787B30"/>
    <w:rsid w:val="00787C9B"/>
    <w:rsid w:val="00787CDD"/>
    <w:rsid w:val="00787DD9"/>
    <w:rsid w:val="00790036"/>
    <w:rsid w:val="007900F3"/>
    <w:rsid w:val="007902CF"/>
    <w:rsid w:val="0079078E"/>
    <w:rsid w:val="007907CA"/>
    <w:rsid w:val="00790E1F"/>
    <w:rsid w:val="007911FD"/>
    <w:rsid w:val="00791212"/>
    <w:rsid w:val="00791859"/>
    <w:rsid w:val="00791E22"/>
    <w:rsid w:val="00792030"/>
    <w:rsid w:val="007920BD"/>
    <w:rsid w:val="007923E2"/>
    <w:rsid w:val="007924B8"/>
    <w:rsid w:val="007925DC"/>
    <w:rsid w:val="00792699"/>
    <w:rsid w:val="00792971"/>
    <w:rsid w:val="00792D91"/>
    <w:rsid w:val="007930E4"/>
    <w:rsid w:val="00793111"/>
    <w:rsid w:val="007934E2"/>
    <w:rsid w:val="007935D5"/>
    <w:rsid w:val="00793930"/>
    <w:rsid w:val="00793B66"/>
    <w:rsid w:val="00793DD1"/>
    <w:rsid w:val="00794023"/>
    <w:rsid w:val="007941A4"/>
    <w:rsid w:val="00794425"/>
    <w:rsid w:val="00794490"/>
    <w:rsid w:val="0079474A"/>
    <w:rsid w:val="00794863"/>
    <w:rsid w:val="00794FEC"/>
    <w:rsid w:val="007952D3"/>
    <w:rsid w:val="0079544B"/>
    <w:rsid w:val="00795D03"/>
    <w:rsid w:val="00795E9A"/>
    <w:rsid w:val="00796317"/>
    <w:rsid w:val="0079642C"/>
    <w:rsid w:val="0079671E"/>
    <w:rsid w:val="00796882"/>
    <w:rsid w:val="00796B7D"/>
    <w:rsid w:val="00796E61"/>
    <w:rsid w:val="00797680"/>
    <w:rsid w:val="00797D5B"/>
    <w:rsid w:val="00797D8A"/>
    <w:rsid w:val="007A003E"/>
    <w:rsid w:val="007A0122"/>
    <w:rsid w:val="007A0134"/>
    <w:rsid w:val="007A0C0A"/>
    <w:rsid w:val="007A0D93"/>
    <w:rsid w:val="007A1101"/>
    <w:rsid w:val="007A1193"/>
    <w:rsid w:val="007A11B3"/>
    <w:rsid w:val="007A15EA"/>
    <w:rsid w:val="007A195E"/>
    <w:rsid w:val="007A1965"/>
    <w:rsid w:val="007A1A11"/>
    <w:rsid w:val="007A1AB2"/>
    <w:rsid w:val="007A1F44"/>
    <w:rsid w:val="007A1FE7"/>
    <w:rsid w:val="007A233F"/>
    <w:rsid w:val="007A23D9"/>
    <w:rsid w:val="007A2462"/>
    <w:rsid w:val="007A2986"/>
    <w:rsid w:val="007A2D98"/>
    <w:rsid w:val="007A2DA5"/>
    <w:rsid w:val="007A2EC8"/>
    <w:rsid w:val="007A2ED1"/>
    <w:rsid w:val="007A2F0F"/>
    <w:rsid w:val="007A3143"/>
    <w:rsid w:val="007A37F6"/>
    <w:rsid w:val="007A3E18"/>
    <w:rsid w:val="007A4228"/>
    <w:rsid w:val="007A454B"/>
    <w:rsid w:val="007A46A1"/>
    <w:rsid w:val="007A46D3"/>
    <w:rsid w:val="007A49B7"/>
    <w:rsid w:val="007A4BE6"/>
    <w:rsid w:val="007A4C05"/>
    <w:rsid w:val="007A4DA1"/>
    <w:rsid w:val="007A4EE3"/>
    <w:rsid w:val="007A505E"/>
    <w:rsid w:val="007A5207"/>
    <w:rsid w:val="007A55B8"/>
    <w:rsid w:val="007A586E"/>
    <w:rsid w:val="007A5EE8"/>
    <w:rsid w:val="007A60F2"/>
    <w:rsid w:val="007A616A"/>
    <w:rsid w:val="007A6238"/>
    <w:rsid w:val="007A6601"/>
    <w:rsid w:val="007A6645"/>
    <w:rsid w:val="007A6B39"/>
    <w:rsid w:val="007A6B75"/>
    <w:rsid w:val="007A72F0"/>
    <w:rsid w:val="007A74D8"/>
    <w:rsid w:val="007A7564"/>
    <w:rsid w:val="007A7E92"/>
    <w:rsid w:val="007A7F1C"/>
    <w:rsid w:val="007B0245"/>
    <w:rsid w:val="007B04C8"/>
    <w:rsid w:val="007B0D25"/>
    <w:rsid w:val="007B0DC6"/>
    <w:rsid w:val="007B1094"/>
    <w:rsid w:val="007B1383"/>
    <w:rsid w:val="007B14CA"/>
    <w:rsid w:val="007B1762"/>
    <w:rsid w:val="007B1C2D"/>
    <w:rsid w:val="007B1D09"/>
    <w:rsid w:val="007B1F3A"/>
    <w:rsid w:val="007B2702"/>
    <w:rsid w:val="007B283E"/>
    <w:rsid w:val="007B2882"/>
    <w:rsid w:val="007B2A05"/>
    <w:rsid w:val="007B32BC"/>
    <w:rsid w:val="007B3320"/>
    <w:rsid w:val="007B3408"/>
    <w:rsid w:val="007B3530"/>
    <w:rsid w:val="007B3BBB"/>
    <w:rsid w:val="007B3EB5"/>
    <w:rsid w:val="007B4309"/>
    <w:rsid w:val="007B432C"/>
    <w:rsid w:val="007B46D7"/>
    <w:rsid w:val="007B4804"/>
    <w:rsid w:val="007B52C4"/>
    <w:rsid w:val="007B52E9"/>
    <w:rsid w:val="007B5E77"/>
    <w:rsid w:val="007B601D"/>
    <w:rsid w:val="007B60FE"/>
    <w:rsid w:val="007B64CA"/>
    <w:rsid w:val="007B6960"/>
    <w:rsid w:val="007B6A0E"/>
    <w:rsid w:val="007B6BD4"/>
    <w:rsid w:val="007B6E3A"/>
    <w:rsid w:val="007B6F5D"/>
    <w:rsid w:val="007B727B"/>
    <w:rsid w:val="007B7695"/>
    <w:rsid w:val="007B7706"/>
    <w:rsid w:val="007B7925"/>
    <w:rsid w:val="007B7BD3"/>
    <w:rsid w:val="007B7BE7"/>
    <w:rsid w:val="007B7E40"/>
    <w:rsid w:val="007C0059"/>
    <w:rsid w:val="007C020E"/>
    <w:rsid w:val="007C0595"/>
    <w:rsid w:val="007C0A60"/>
    <w:rsid w:val="007C0C2B"/>
    <w:rsid w:val="007C0C90"/>
    <w:rsid w:val="007C0F72"/>
    <w:rsid w:val="007C139A"/>
    <w:rsid w:val="007C1743"/>
    <w:rsid w:val="007C1762"/>
    <w:rsid w:val="007C191B"/>
    <w:rsid w:val="007C1B86"/>
    <w:rsid w:val="007C1EBA"/>
    <w:rsid w:val="007C24F0"/>
    <w:rsid w:val="007C26DC"/>
    <w:rsid w:val="007C2701"/>
    <w:rsid w:val="007C2D85"/>
    <w:rsid w:val="007C301F"/>
    <w:rsid w:val="007C30D7"/>
    <w:rsid w:val="007C3394"/>
    <w:rsid w:val="007C3399"/>
    <w:rsid w:val="007C348A"/>
    <w:rsid w:val="007C3755"/>
    <w:rsid w:val="007C3AF2"/>
    <w:rsid w:val="007C4540"/>
    <w:rsid w:val="007C460D"/>
    <w:rsid w:val="007C49E9"/>
    <w:rsid w:val="007C4AE3"/>
    <w:rsid w:val="007C53A4"/>
    <w:rsid w:val="007C5584"/>
    <w:rsid w:val="007C5682"/>
    <w:rsid w:val="007C57E6"/>
    <w:rsid w:val="007C5BA3"/>
    <w:rsid w:val="007C5CDC"/>
    <w:rsid w:val="007C648B"/>
    <w:rsid w:val="007C65AF"/>
    <w:rsid w:val="007C670A"/>
    <w:rsid w:val="007C6AD2"/>
    <w:rsid w:val="007C6D99"/>
    <w:rsid w:val="007C6F1D"/>
    <w:rsid w:val="007C70E3"/>
    <w:rsid w:val="007C7EB4"/>
    <w:rsid w:val="007D0256"/>
    <w:rsid w:val="007D08CD"/>
    <w:rsid w:val="007D0BD3"/>
    <w:rsid w:val="007D121E"/>
    <w:rsid w:val="007D132B"/>
    <w:rsid w:val="007D135D"/>
    <w:rsid w:val="007D17DE"/>
    <w:rsid w:val="007D1B19"/>
    <w:rsid w:val="007D1D32"/>
    <w:rsid w:val="007D1E6C"/>
    <w:rsid w:val="007D222E"/>
    <w:rsid w:val="007D2513"/>
    <w:rsid w:val="007D27DB"/>
    <w:rsid w:val="007D2E9C"/>
    <w:rsid w:val="007D3175"/>
    <w:rsid w:val="007D3326"/>
    <w:rsid w:val="007D360D"/>
    <w:rsid w:val="007D3AC1"/>
    <w:rsid w:val="007D3DD3"/>
    <w:rsid w:val="007D3FBA"/>
    <w:rsid w:val="007D40E4"/>
    <w:rsid w:val="007D4210"/>
    <w:rsid w:val="007D4990"/>
    <w:rsid w:val="007D5AE0"/>
    <w:rsid w:val="007D5C5F"/>
    <w:rsid w:val="007D5DE9"/>
    <w:rsid w:val="007D5FB0"/>
    <w:rsid w:val="007D62E2"/>
    <w:rsid w:val="007D6335"/>
    <w:rsid w:val="007D674C"/>
    <w:rsid w:val="007D68B5"/>
    <w:rsid w:val="007D6A14"/>
    <w:rsid w:val="007D6D1E"/>
    <w:rsid w:val="007D6DC9"/>
    <w:rsid w:val="007D6DCC"/>
    <w:rsid w:val="007D6E60"/>
    <w:rsid w:val="007D725D"/>
    <w:rsid w:val="007D730F"/>
    <w:rsid w:val="007D7779"/>
    <w:rsid w:val="007D77D5"/>
    <w:rsid w:val="007D786B"/>
    <w:rsid w:val="007D79C3"/>
    <w:rsid w:val="007D7BBA"/>
    <w:rsid w:val="007D7CD8"/>
    <w:rsid w:val="007D7F2D"/>
    <w:rsid w:val="007E038A"/>
    <w:rsid w:val="007E07BA"/>
    <w:rsid w:val="007E0ADF"/>
    <w:rsid w:val="007E0B19"/>
    <w:rsid w:val="007E0D27"/>
    <w:rsid w:val="007E1038"/>
    <w:rsid w:val="007E187D"/>
    <w:rsid w:val="007E1AB9"/>
    <w:rsid w:val="007E1CC4"/>
    <w:rsid w:val="007E28B3"/>
    <w:rsid w:val="007E2A6E"/>
    <w:rsid w:val="007E2A98"/>
    <w:rsid w:val="007E2BF7"/>
    <w:rsid w:val="007E32AD"/>
    <w:rsid w:val="007E32B6"/>
    <w:rsid w:val="007E32F8"/>
    <w:rsid w:val="007E337C"/>
    <w:rsid w:val="007E3AA7"/>
    <w:rsid w:val="007E3D9A"/>
    <w:rsid w:val="007E3FB2"/>
    <w:rsid w:val="007E41FD"/>
    <w:rsid w:val="007E4218"/>
    <w:rsid w:val="007E432B"/>
    <w:rsid w:val="007E445F"/>
    <w:rsid w:val="007E446B"/>
    <w:rsid w:val="007E4685"/>
    <w:rsid w:val="007E476B"/>
    <w:rsid w:val="007E48C3"/>
    <w:rsid w:val="007E4FAF"/>
    <w:rsid w:val="007E502D"/>
    <w:rsid w:val="007E52AA"/>
    <w:rsid w:val="007E5614"/>
    <w:rsid w:val="007E584A"/>
    <w:rsid w:val="007E5962"/>
    <w:rsid w:val="007E61D1"/>
    <w:rsid w:val="007E6C85"/>
    <w:rsid w:val="007E6EFD"/>
    <w:rsid w:val="007E7557"/>
    <w:rsid w:val="007E75A7"/>
    <w:rsid w:val="007E7ABD"/>
    <w:rsid w:val="007E7D1B"/>
    <w:rsid w:val="007E7E41"/>
    <w:rsid w:val="007F044D"/>
    <w:rsid w:val="007F0567"/>
    <w:rsid w:val="007F0746"/>
    <w:rsid w:val="007F075F"/>
    <w:rsid w:val="007F08B3"/>
    <w:rsid w:val="007F0951"/>
    <w:rsid w:val="007F0959"/>
    <w:rsid w:val="007F0AB8"/>
    <w:rsid w:val="007F0B25"/>
    <w:rsid w:val="007F0B39"/>
    <w:rsid w:val="007F0B6E"/>
    <w:rsid w:val="007F10BA"/>
    <w:rsid w:val="007F1152"/>
    <w:rsid w:val="007F1543"/>
    <w:rsid w:val="007F1688"/>
    <w:rsid w:val="007F1871"/>
    <w:rsid w:val="007F1B2B"/>
    <w:rsid w:val="007F27AE"/>
    <w:rsid w:val="007F2A3C"/>
    <w:rsid w:val="007F2AEF"/>
    <w:rsid w:val="007F2D69"/>
    <w:rsid w:val="007F300F"/>
    <w:rsid w:val="007F316B"/>
    <w:rsid w:val="007F3170"/>
    <w:rsid w:val="007F3310"/>
    <w:rsid w:val="007F33DB"/>
    <w:rsid w:val="007F3578"/>
    <w:rsid w:val="007F36AC"/>
    <w:rsid w:val="007F3BA9"/>
    <w:rsid w:val="007F3DD4"/>
    <w:rsid w:val="007F3E1D"/>
    <w:rsid w:val="007F3E2C"/>
    <w:rsid w:val="007F4070"/>
    <w:rsid w:val="007F43A4"/>
    <w:rsid w:val="007F4DDB"/>
    <w:rsid w:val="007F5154"/>
    <w:rsid w:val="007F5355"/>
    <w:rsid w:val="007F54FC"/>
    <w:rsid w:val="007F58E7"/>
    <w:rsid w:val="007F5943"/>
    <w:rsid w:val="007F6043"/>
    <w:rsid w:val="007F61A2"/>
    <w:rsid w:val="007F6641"/>
    <w:rsid w:val="007F6AB2"/>
    <w:rsid w:val="007F6B58"/>
    <w:rsid w:val="007F6C24"/>
    <w:rsid w:val="007F737D"/>
    <w:rsid w:val="007F7F11"/>
    <w:rsid w:val="00800339"/>
    <w:rsid w:val="0080045B"/>
    <w:rsid w:val="008008F3"/>
    <w:rsid w:val="00800DEE"/>
    <w:rsid w:val="00800FC8"/>
    <w:rsid w:val="0080127D"/>
    <w:rsid w:val="00801363"/>
    <w:rsid w:val="00801B01"/>
    <w:rsid w:val="00801B6C"/>
    <w:rsid w:val="00801BC4"/>
    <w:rsid w:val="00801C27"/>
    <w:rsid w:val="00801C97"/>
    <w:rsid w:val="008024B3"/>
    <w:rsid w:val="008026A4"/>
    <w:rsid w:val="00802DF5"/>
    <w:rsid w:val="00802E63"/>
    <w:rsid w:val="00802FAD"/>
    <w:rsid w:val="0080308E"/>
    <w:rsid w:val="0080367E"/>
    <w:rsid w:val="008036C9"/>
    <w:rsid w:val="00803889"/>
    <w:rsid w:val="00803999"/>
    <w:rsid w:val="00803D8A"/>
    <w:rsid w:val="00803F0C"/>
    <w:rsid w:val="00804319"/>
    <w:rsid w:val="00804C76"/>
    <w:rsid w:val="00805303"/>
    <w:rsid w:val="00805733"/>
    <w:rsid w:val="00806057"/>
    <w:rsid w:val="00806705"/>
    <w:rsid w:val="00806738"/>
    <w:rsid w:val="00806A47"/>
    <w:rsid w:val="00806CF6"/>
    <w:rsid w:val="00806E2E"/>
    <w:rsid w:val="00807388"/>
    <w:rsid w:val="008074BF"/>
    <w:rsid w:val="00807D1E"/>
    <w:rsid w:val="00807EFF"/>
    <w:rsid w:val="008102F7"/>
    <w:rsid w:val="008103A8"/>
    <w:rsid w:val="00810AB4"/>
    <w:rsid w:val="00810CBA"/>
    <w:rsid w:val="00810D09"/>
    <w:rsid w:val="008114F7"/>
    <w:rsid w:val="00811A66"/>
    <w:rsid w:val="00811C17"/>
    <w:rsid w:val="00811DD8"/>
    <w:rsid w:val="00812123"/>
    <w:rsid w:val="00812260"/>
    <w:rsid w:val="008129EB"/>
    <w:rsid w:val="00812DA6"/>
    <w:rsid w:val="00813465"/>
    <w:rsid w:val="008134E1"/>
    <w:rsid w:val="0081352D"/>
    <w:rsid w:val="0081387D"/>
    <w:rsid w:val="008141A0"/>
    <w:rsid w:val="008146BA"/>
    <w:rsid w:val="00814B7D"/>
    <w:rsid w:val="00815056"/>
    <w:rsid w:val="00815216"/>
    <w:rsid w:val="008155F2"/>
    <w:rsid w:val="008156B9"/>
    <w:rsid w:val="0081578F"/>
    <w:rsid w:val="008157BE"/>
    <w:rsid w:val="008158F6"/>
    <w:rsid w:val="00815B8F"/>
    <w:rsid w:val="00815BB4"/>
    <w:rsid w:val="0081616B"/>
    <w:rsid w:val="008162DB"/>
    <w:rsid w:val="00816343"/>
    <w:rsid w:val="008163B0"/>
    <w:rsid w:val="008176A4"/>
    <w:rsid w:val="0081787D"/>
    <w:rsid w:val="00817938"/>
    <w:rsid w:val="00817A55"/>
    <w:rsid w:val="00817BA4"/>
    <w:rsid w:val="00817EC0"/>
    <w:rsid w:val="008200D0"/>
    <w:rsid w:val="00820687"/>
    <w:rsid w:val="0082073C"/>
    <w:rsid w:val="00820CF2"/>
    <w:rsid w:val="00820EF9"/>
    <w:rsid w:val="00821465"/>
    <w:rsid w:val="008216D5"/>
    <w:rsid w:val="0082172A"/>
    <w:rsid w:val="008218A1"/>
    <w:rsid w:val="008218BA"/>
    <w:rsid w:val="00821933"/>
    <w:rsid w:val="008219D1"/>
    <w:rsid w:val="00821A52"/>
    <w:rsid w:val="00821A60"/>
    <w:rsid w:val="0082209A"/>
    <w:rsid w:val="0082259F"/>
    <w:rsid w:val="008225A7"/>
    <w:rsid w:val="00822734"/>
    <w:rsid w:val="00822746"/>
    <w:rsid w:val="00822D0C"/>
    <w:rsid w:val="00822E37"/>
    <w:rsid w:val="008231A1"/>
    <w:rsid w:val="00823554"/>
    <w:rsid w:val="008239DA"/>
    <w:rsid w:val="00823D98"/>
    <w:rsid w:val="0082455C"/>
    <w:rsid w:val="00824915"/>
    <w:rsid w:val="008249CE"/>
    <w:rsid w:val="00824E6B"/>
    <w:rsid w:val="00824F84"/>
    <w:rsid w:val="00825063"/>
    <w:rsid w:val="008251AB"/>
    <w:rsid w:val="00825A5B"/>
    <w:rsid w:val="00826064"/>
    <w:rsid w:val="0082611E"/>
    <w:rsid w:val="0082633A"/>
    <w:rsid w:val="0082651C"/>
    <w:rsid w:val="008265B0"/>
    <w:rsid w:val="00826878"/>
    <w:rsid w:val="00826B0E"/>
    <w:rsid w:val="00826CEF"/>
    <w:rsid w:val="00826D05"/>
    <w:rsid w:val="00826D1B"/>
    <w:rsid w:val="00826F1A"/>
    <w:rsid w:val="0082753D"/>
    <w:rsid w:val="0082787A"/>
    <w:rsid w:val="00827967"/>
    <w:rsid w:val="00827A51"/>
    <w:rsid w:val="00827AF8"/>
    <w:rsid w:val="00827C38"/>
    <w:rsid w:val="00827F17"/>
    <w:rsid w:val="008301BA"/>
    <w:rsid w:val="00830330"/>
    <w:rsid w:val="0083038D"/>
    <w:rsid w:val="00830B58"/>
    <w:rsid w:val="00830C03"/>
    <w:rsid w:val="00830F84"/>
    <w:rsid w:val="008311E5"/>
    <w:rsid w:val="0083130B"/>
    <w:rsid w:val="00831621"/>
    <w:rsid w:val="00831A1D"/>
    <w:rsid w:val="00831A50"/>
    <w:rsid w:val="00831B3C"/>
    <w:rsid w:val="00831C89"/>
    <w:rsid w:val="00831EFB"/>
    <w:rsid w:val="00831FEB"/>
    <w:rsid w:val="00832114"/>
    <w:rsid w:val="00832120"/>
    <w:rsid w:val="0083213A"/>
    <w:rsid w:val="00832146"/>
    <w:rsid w:val="00832522"/>
    <w:rsid w:val="00832995"/>
    <w:rsid w:val="00832AA4"/>
    <w:rsid w:val="00832BA7"/>
    <w:rsid w:val="00832CA3"/>
    <w:rsid w:val="00832DA0"/>
    <w:rsid w:val="00832F85"/>
    <w:rsid w:val="00833446"/>
    <w:rsid w:val="00833831"/>
    <w:rsid w:val="00833903"/>
    <w:rsid w:val="00833DC8"/>
    <w:rsid w:val="008342BC"/>
    <w:rsid w:val="00834774"/>
    <w:rsid w:val="008348FC"/>
    <w:rsid w:val="00834BAA"/>
    <w:rsid w:val="00834C46"/>
    <w:rsid w:val="0083523D"/>
    <w:rsid w:val="00835314"/>
    <w:rsid w:val="00835AC9"/>
    <w:rsid w:val="00835E6F"/>
    <w:rsid w:val="00835F41"/>
    <w:rsid w:val="00835FA6"/>
    <w:rsid w:val="00835FAA"/>
    <w:rsid w:val="00835FF5"/>
    <w:rsid w:val="0083615E"/>
    <w:rsid w:val="00836897"/>
    <w:rsid w:val="008369C8"/>
    <w:rsid w:val="00836B23"/>
    <w:rsid w:val="00836CED"/>
    <w:rsid w:val="00836FB2"/>
    <w:rsid w:val="0083712A"/>
    <w:rsid w:val="00837242"/>
    <w:rsid w:val="00837926"/>
    <w:rsid w:val="00837C89"/>
    <w:rsid w:val="00837EAB"/>
    <w:rsid w:val="0084013F"/>
    <w:rsid w:val="00840234"/>
    <w:rsid w:val="0084093E"/>
    <w:rsid w:val="00840AE8"/>
    <w:rsid w:val="00840B65"/>
    <w:rsid w:val="00840EE8"/>
    <w:rsid w:val="00840FA0"/>
    <w:rsid w:val="008410BB"/>
    <w:rsid w:val="008417AE"/>
    <w:rsid w:val="00841873"/>
    <w:rsid w:val="008418C1"/>
    <w:rsid w:val="00841AD6"/>
    <w:rsid w:val="00841B07"/>
    <w:rsid w:val="00841CE1"/>
    <w:rsid w:val="00841D3E"/>
    <w:rsid w:val="00841E00"/>
    <w:rsid w:val="00841E5C"/>
    <w:rsid w:val="00841E5E"/>
    <w:rsid w:val="0084243B"/>
    <w:rsid w:val="008424B5"/>
    <w:rsid w:val="008428D8"/>
    <w:rsid w:val="00842941"/>
    <w:rsid w:val="00842D56"/>
    <w:rsid w:val="00842D9D"/>
    <w:rsid w:val="00842EC3"/>
    <w:rsid w:val="00842FB3"/>
    <w:rsid w:val="00843719"/>
    <w:rsid w:val="00843731"/>
    <w:rsid w:val="00843883"/>
    <w:rsid w:val="00843F6C"/>
    <w:rsid w:val="0084400C"/>
    <w:rsid w:val="008443BC"/>
    <w:rsid w:val="00844460"/>
    <w:rsid w:val="008448E5"/>
    <w:rsid w:val="00844A02"/>
    <w:rsid w:val="00844D2A"/>
    <w:rsid w:val="0084547C"/>
    <w:rsid w:val="00845526"/>
    <w:rsid w:val="0084563D"/>
    <w:rsid w:val="00845BB8"/>
    <w:rsid w:val="00845D18"/>
    <w:rsid w:val="00845DCE"/>
    <w:rsid w:val="008473D8"/>
    <w:rsid w:val="0084796C"/>
    <w:rsid w:val="00847979"/>
    <w:rsid w:val="0084797F"/>
    <w:rsid w:val="008479F0"/>
    <w:rsid w:val="00850284"/>
    <w:rsid w:val="00850550"/>
    <w:rsid w:val="0085060B"/>
    <w:rsid w:val="00850D81"/>
    <w:rsid w:val="00850DB0"/>
    <w:rsid w:val="00850DD1"/>
    <w:rsid w:val="0085104C"/>
    <w:rsid w:val="0085113C"/>
    <w:rsid w:val="00851156"/>
    <w:rsid w:val="00851C12"/>
    <w:rsid w:val="008520E7"/>
    <w:rsid w:val="008524BD"/>
    <w:rsid w:val="008525B7"/>
    <w:rsid w:val="008528DC"/>
    <w:rsid w:val="00852AC6"/>
    <w:rsid w:val="00852B8C"/>
    <w:rsid w:val="00852E36"/>
    <w:rsid w:val="00852F25"/>
    <w:rsid w:val="00853191"/>
    <w:rsid w:val="0085325A"/>
    <w:rsid w:val="008534BF"/>
    <w:rsid w:val="00853C4F"/>
    <w:rsid w:val="008540E6"/>
    <w:rsid w:val="0085417B"/>
    <w:rsid w:val="0085432C"/>
    <w:rsid w:val="008545FF"/>
    <w:rsid w:val="00854668"/>
    <w:rsid w:val="008546DB"/>
    <w:rsid w:val="00854826"/>
    <w:rsid w:val="00854858"/>
    <w:rsid w:val="00854981"/>
    <w:rsid w:val="00854D5E"/>
    <w:rsid w:val="00854EC9"/>
    <w:rsid w:val="008550A2"/>
    <w:rsid w:val="00855109"/>
    <w:rsid w:val="008551FB"/>
    <w:rsid w:val="00855A9D"/>
    <w:rsid w:val="00855C9E"/>
    <w:rsid w:val="00855D71"/>
    <w:rsid w:val="00855DB4"/>
    <w:rsid w:val="00855F69"/>
    <w:rsid w:val="00855FF4"/>
    <w:rsid w:val="00856898"/>
    <w:rsid w:val="00856BEA"/>
    <w:rsid w:val="0085776F"/>
    <w:rsid w:val="0086009C"/>
    <w:rsid w:val="00860313"/>
    <w:rsid w:val="00860563"/>
    <w:rsid w:val="00860AC3"/>
    <w:rsid w:val="00860CA8"/>
    <w:rsid w:val="00860DFE"/>
    <w:rsid w:val="00860E7B"/>
    <w:rsid w:val="00861038"/>
    <w:rsid w:val="008612C2"/>
    <w:rsid w:val="0086149C"/>
    <w:rsid w:val="008615DE"/>
    <w:rsid w:val="008616AB"/>
    <w:rsid w:val="008619A8"/>
    <w:rsid w:val="00861EBC"/>
    <w:rsid w:val="00862495"/>
    <w:rsid w:val="008624FF"/>
    <w:rsid w:val="008628E7"/>
    <w:rsid w:val="008629BC"/>
    <w:rsid w:val="00862C74"/>
    <w:rsid w:val="0086332D"/>
    <w:rsid w:val="008633B4"/>
    <w:rsid w:val="008635C4"/>
    <w:rsid w:val="00863746"/>
    <w:rsid w:val="00863BDA"/>
    <w:rsid w:val="00863E50"/>
    <w:rsid w:val="00863F18"/>
    <w:rsid w:val="00864521"/>
    <w:rsid w:val="00864B24"/>
    <w:rsid w:val="00864B2E"/>
    <w:rsid w:val="00864C89"/>
    <w:rsid w:val="00865351"/>
    <w:rsid w:val="008654C9"/>
    <w:rsid w:val="00865583"/>
    <w:rsid w:val="00865710"/>
    <w:rsid w:val="008657FA"/>
    <w:rsid w:val="00865963"/>
    <w:rsid w:val="008659E0"/>
    <w:rsid w:val="00865A36"/>
    <w:rsid w:val="00866148"/>
    <w:rsid w:val="00866417"/>
    <w:rsid w:val="00866854"/>
    <w:rsid w:val="00866C7D"/>
    <w:rsid w:val="00867227"/>
    <w:rsid w:val="00867443"/>
    <w:rsid w:val="0086767E"/>
    <w:rsid w:val="008700C5"/>
    <w:rsid w:val="0087034D"/>
    <w:rsid w:val="0087054B"/>
    <w:rsid w:val="008708DC"/>
    <w:rsid w:val="00870BF4"/>
    <w:rsid w:val="00870CDF"/>
    <w:rsid w:val="00870EBF"/>
    <w:rsid w:val="00870F64"/>
    <w:rsid w:val="00870FC6"/>
    <w:rsid w:val="008711D9"/>
    <w:rsid w:val="00871712"/>
    <w:rsid w:val="00871742"/>
    <w:rsid w:val="008717A4"/>
    <w:rsid w:val="00871917"/>
    <w:rsid w:val="00871957"/>
    <w:rsid w:val="00871C1D"/>
    <w:rsid w:val="00871CD6"/>
    <w:rsid w:val="00871CFD"/>
    <w:rsid w:val="00871E55"/>
    <w:rsid w:val="008722A2"/>
    <w:rsid w:val="00872B19"/>
    <w:rsid w:val="00873388"/>
    <w:rsid w:val="00873661"/>
    <w:rsid w:val="0087385B"/>
    <w:rsid w:val="00873D59"/>
    <w:rsid w:val="00873E36"/>
    <w:rsid w:val="00873F19"/>
    <w:rsid w:val="00873F87"/>
    <w:rsid w:val="0087450E"/>
    <w:rsid w:val="008745B4"/>
    <w:rsid w:val="008749C8"/>
    <w:rsid w:val="00874A61"/>
    <w:rsid w:val="00874BB1"/>
    <w:rsid w:val="00874FA3"/>
    <w:rsid w:val="00875132"/>
    <w:rsid w:val="0087526C"/>
    <w:rsid w:val="008758BA"/>
    <w:rsid w:val="00875A82"/>
    <w:rsid w:val="00875D90"/>
    <w:rsid w:val="00875ED1"/>
    <w:rsid w:val="00875FDF"/>
    <w:rsid w:val="00876098"/>
    <w:rsid w:val="0087636C"/>
    <w:rsid w:val="00876CA3"/>
    <w:rsid w:val="00876D4F"/>
    <w:rsid w:val="008770AA"/>
    <w:rsid w:val="008772FE"/>
    <w:rsid w:val="00877354"/>
    <w:rsid w:val="008775F1"/>
    <w:rsid w:val="00877676"/>
    <w:rsid w:val="008778CB"/>
    <w:rsid w:val="00880027"/>
    <w:rsid w:val="00880B72"/>
    <w:rsid w:val="00880E28"/>
    <w:rsid w:val="008810AC"/>
    <w:rsid w:val="00881211"/>
    <w:rsid w:val="0088140A"/>
    <w:rsid w:val="0088172E"/>
    <w:rsid w:val="008817EE"/>
    <w:rsid w:val="0088199F"/>
    <w:rsid w:val="00881B10"/>
    <w:rsid w:val="00881BFC"/>
    <w:rsid w:val="00881D34"/>
    <w:rsid w:val="00881ED4"/>
    <w:rsid w:val="008821AE"/>
    <w:rsid w:val="00882369"/>
    <w:rsid w:val="0088242E"/>
    <w:rsid w:val="0088258D"/>
    <w:rsid w:val="00882648"/>
    <w:rsid w:val="00882C72"/>
    <w:rsid w:val="00882CC5"/>
    <w:rsid w:val="008831A7"/>
    <w:rsid w:val="008836CD"/>
    <w:rsid w:val="0088374C"/>
    <w:rsid w:val="00883978"/>
    <w:rsid w:val="00883A34"/>
    <w:rsid w:val="00883D3A"/>
    <w:rsid w:val="00883F53"/>
    <w:rsid w:val="00884088"/>
    <w:rsid w:val="00884C3A"/>
    <w:rsid w:val="00884E45"/>
    <w:rsid w:val="00884E54"/>
    <w:rsid w:val="008852C9"/>
    <w:rsid w:val="00885381"/>
    <w:rsid w:val="008853CC"/>
    <w:rsid w:val="008854F7"/>
    <w:rsid w:val="0088550A"/>
    <w:rsid w:val="00885A93"/>
    <w:rsid w:val="00885A9D"/>
    <w:rsid w:val="00885B50"/>
    <w:rsid w:val="00885C6D"/>
    <w:rsid w:val="0088600A"/>
    <w:rsid w:val="008860F4"/>
    <w:rsid w:val="00886107"/>
    <w:rsid w:val="008861EE"/>
    <w:rsid w:val="00886367"/>
    <w:rsid w:val="008863A6"/>
    <w:rsid w:val="0088683E"/>
    <w:rsid w:val="00886902"/>
    <w:rsid w:val="008871FC"/>
    <w:rsid w:val="00887387"/>
    <w:rsid w:val="008875B9"/>
    <w:rsid w:val="008879B1"/>
    <w:rsid w:val="00887D3A"/>
    <w:rsid w:val="00887E03"/>
    <w:rsid w:val="00890859"/>
    <w:rsid w:val="00890A18"/>
    <w:rsid w:val="00890AB5"/>
    <w:rsid w:val="00890B5A"/>
    <w:rsid w:val="00890FCC"/>
    <w:rsid w:val="008915DB"/>
    <w:rsid w:val="00891649"/>
    <w:rsid w:val="008919A6"/>
    <w:rsid w:val="00891ACE"/>
    <w:rsid w:val="00891E38"/>
    <w:rsid w:val="00891FAE"/>
    <w:rsid w:val="008920B1"/>
    <w:rsid w:val="00892315"/>
    <w:rsid w:val="0089258E"/>
    <w:rsid w:val="0089269C"/>
    <w:rsid w:val="0089298B"/>
    <w:rsid w:val="008929D2"/>
    <w:rsid w:val="00892C2D"/>
    <w:rsid w:val="00892EFE"/>
    <w:rsid w:val="0089302D"/>
    <w:rsid w:val="00893636"/>
    <w:rsid w:val="00893753"/>
    <w:rsid w:val="0089395F"/>
    <w:rsid w:val="00893A4D"/>
    <w:rsid w:val="00893B94"/>
    <w:rsid w:val="00893DDC"/>
    <w:rsid w:val="00893FF4"/>
    <w:rsid w:val="00894875"/>
    <w:rsid w:val="008948D5"/>
    <w:rsid w:val="00894909"/>
    <w:rsid w:val="00894ADE"/>
    <w:rsid w:val="00894E82"/>
    <w:rsid w:val="00894FA5"/>
    <w:rsid w:val="00894FEA"/>
    <w:rsid w:val="00895389"/>
    <w:rsid w:val="00895507"/>
    <w:rsid w:val="00895513"/>
    <w:rsid w:val="00895606"/>
    <w:rsid w:val="00895659"/>
    <w:rsid w:val="00895943"/>
    <w:rsid w:val="00895A2E"/>
    <w:rsid w:val="00895BF0"/>
    <w:rsid w:val="00895C3A"/>
    <w:rsid w:val="00895D08"/>
    <w:rsid w:val="00895E1C"/>
    <w:rsid w:val="00896334"/>
    <w:rsid w:val="0089633B"/>
    <w:rsid w:val="0089647B"/>
    <w:rsid w:val="00896519"/>
    <w:rsid w:val="00896569"/>
    <w:rsid w:val="0089691D"/>
    <w:rsid w:val="00896D4D"/>
    <w:rsid w:val="00896E9D"/>
    <w:rsid w:val="00896F11"/>
    <w:rsid w:val="0089710B"/>
    <w:rsid w:val="008972C0"/>
    <w:rsid w:val="008975B9"/>
    <w:rsid w:val="008975ED"/>
    <w:rsid w:val="00897745"/>
    <w:rsid w:val="008977F2"/>
    <w:rsid w:val="008A0144"/>
    <w:rsid w:val="008A056A"/>
    <w:rsid w:val="008A0778"/>
    <w:rsid w:val="008A07C8"/>
    <w:rsid w:val="008A08E2"/>
    <w:rsid w:val="008A0969"/>
    <w:rsid w:val="008A0E55"/>
    <w:rsid w:val="008A0EAD"/>
    <w:rsid w:val="008A1049"/>
    <w:rsid w:val="008A1745"/>
    <w:rsid w:val="008A1C98"/>
    <w:rsid w:val="008A1CAF"/>
    <w:rsid w:val="008A2053"/>
    <w:rsid w:val="008A2193"/>
    <w:rsid w:val="008A2324"/>
    <w:rsid w:val="008A291B"/>
    <w:rsid w:val="008A29BE"/>
    <w:rsid w:val="008A2A11"/>
    <w:rsid w:val="008A2B4A"/>
    <w:rsid w:val="008A322D"/>
    <w:rsid w:val="008A328C"/>
    <w:rsid w:val="008A344B"/>
    <w:rsid w:val="008A36F9"/>
    <w:rsid w:val="008A382F"/>
    <w:rsid w:val="008A3CE1"/>
    <w:rsid w:val="008A3F0E"/>
    <w:rsid w:val="008A403C"/>
    <w:rsid w:val="008A420E"/>
    <w:rsid w:val="008A4383"/>
    <w:rsid w:val="008A4773"/>
    <w:rsid w:val="008A4D72"/>
    <w:rsid w:val="008A5079"/>
    <w:rsid w:val="008A54BE"/>
    <w:rsid w:val="008A56F0"/>
    <w:rsid w:val="008A58FC"/>
    <w:rsid w:val="008A5917"/>
    <w:rsid w:val="008A5A9E"/>
    <w:rsid w:val="008A5B99"/>
    <w:rsid w:val="008A5BE4"/>
    <w:rsid w:val="008A61EC"/>
    <w:rsid w:val="008A6285"/>
    <w:rsid w:val="008A63B2"/>
    <w:rsid w:val="008A64B4"/>
    <w:rsid w:val="008A64DF"/>
    <w:rsid w:val="008A67C5"/>
    <w:rsid w:val="008A6B50"/>
    <w:rsid w:val="008A6B77"/>
    <w:rsid w:val="008A75EC"/>
    <w:rsid w:val="008A7632"/>
    <w:rsid w:val="008A7874"/>
    <w:rsid w:val="008A78A5"/>
    <w:rsid w:val="008A79BC"/>
    <w:rsid w:val="008A7D09"/>
    <w:rsid w:val="008A7F8C"/>
    <w:rsid w:val="008B013C"/>
    <w:rsid w:val="008B052E"/>
    <w:rsid w:val="008B078C"/>
    <w:rsid w:val="008B07C1"/>
    <w:rsid w:val="008B096A"/>
    <w:rsid w:val="008B0C2B"/>
    <w:rsid w:val="008B0E79"/>
    <w:rsid w:val="008B0ECD"/>
    <w:rsid w:val="008B11B2"/>
    <w:rsid w:val="008B1414"/>
    <w:rsid w:val="008B1A1F"/>
    <w:rsid w:val="008B1B97"/>
    <w:rsid w:val="008B2113"/>
    <w:rsid w:val="008B21C9"/>
    <w:rsid w:val="008B237B"/>
    <w:rsid w:val="008B24F7"/>
    <w:rsid w:val="008B2BF0"/>
    <w:rsid w:val="008B2DC6"/>
    <w:rsid w:val="008B2E55"/>
    <w:rsid w:val="008B2EF8"/>
    <w:rsid w:val="008B2F86"/>
    <w:rsid w:val="008B345D"/>
    <w:rsid w:val="008B399A"/>
    <w:rsid w:val="008B3AB9"/>
    <w:rsid w:val="008B3CA2"/>
    <w:rsid w:val="008B3EA5"/>
    <w:rsid w:val="008B3FB0"/>
    <w:rsid w:val="008B4310"/>
    <w:rsid w:val="008B4C89"/>
    <w:rsid w:val="008B4E93"/>
    <w:rsid w:val="008B4ED1"/>
    <w:rsid w:val="008B58E7"/>
    <w:rsid w:val="008B5DBF"/>
    <w:rsid w:val="008B5F75"/>
    <w:rsid w:val="008B61F8"/>
    <w:rsid w:val="008B64A0"/>
    <w:rsid w:val="008B6503"/>
    <w:rsid w:val="008B6555"/>
    <w:rsid w:val="008B68A2"/>
    <w:rsid w:val="008B740F"/>
    <w:rsid w:val="008B7673"/>
    <w:rsid w:val="008B7D28"/>
    <w:rsid w:val="008C07AB"/>
    <w:rsid w:val="008C08A2"/>
    <w:rsid w:val="008C08A3"/>
    <w:rsid w:val="008C0BB2"/>
    <w:rsid w:val="008C1ACE"/>
    <w:rsid w:val="008C1C2C"/>
    <w:rsid w:val="008C1FC2"/>
    <w:rsid w:val="008C2368"/>
    <w:rsid w:val="008C2980"/>
    <w:rsid w:val="008C326B"/>
    <w:rsid w:val="008C341E"/>
    <w:rsid w:val="008C34AB"/>
    <w:rsid w:val="008C3680"/>
    <w:rsid w:val="008C3684"/>
    <w:rsid w:val="008C36E2"/>
    <w:rsid w:val="008C37B1"/>
    <w:rsid w:val="008C3D19"/>
    <w:rsid w:val="008C3F67"/>
    <w:rsid w:val="008C4457"/>
    <w:rsid w:val="008C4796"/>
    <w:rsid w:val="008C4A2E"/>
    <w:rsid w:val="008C4DD6"/>
    <w:rsid w:val="008C5412"/>
    <w:rsid w:val="008C542E"/>
    <w:rsid w:val="008C55AA"/>
    <w:rsid w:val="008C57F9"/>
    <w:rsid w:val="008C5AFB"/>
    <w:rsid w:val="008C5BE3"/>
    <w:rsid w:val="008C5D78"/>
    <w:rsid w:val="008C614A"/>
    <w:rsid w:val="008C61D6"/>
    <w:rsid w:val="008C6325"/>
    <w:rsid w:val="008C69D0"/>
    <w:rsid w:val="008C7115"/>
    <w:rsid w:val="008C7150"/>
    <w:rsid w:val="008C730B"/>
    <w:rsid w:val="008C75B8"/>
    <w:rsid w:val="008C773F"/>
    <w:rsid w:val="008C7EF3"/>
    <w:rsid w:val="008C7F67"/>
    <w:rsid w:val="008D014F"/>
    <w:rsid w:val="008D0221"/>
    <w:rsid w:val="008D025D"/>
    <w:rsid w:val="008D07B5"/>
    <w:rsid w:val="008D07FB"/>
    <w:rsid w:val="008D087C"/>
    <w:rsid w:val="008D0C02"/>
    <w:rsid w:val="008D0F07"/>
    <w:rsid w:val="008D18C7"/>
    <w:rsid w:val="008D2209"/>
    <w:rsid w:val="008D2297"/>
    <w:rsid w:val="008D2A9E"/>
    <w:rsid w:val="008D2AF0"/>
    <w:rsid w:val="008D30FE"/>
    <w:rsid w:val="008D324D"/>
    <w:rsid w:val="008D324F"/>
    <w:rsid w:val="008D3293"/>
    <w:rsid w:val="008D357D"/>
    <w:rsid w:val="008D3EAC"/>
    <w:rsid w:val="008D3FC8"/>
    <w:rsid w:val="008D3FF6"/>
    <w:rsid w:val="008D4169"/>
    <w:rsid w:val="008D435A"/>
    <w:rsid w:val="008D45A8"/>
    <w:rsid w:val="008D4754"/>
    <w:rsid w:val="008D477E"/>
    <w:rsid w:val="008D47DE"/>
    <w:rsid w:val="008D4D14"/>
    <w:rsid w:val="008D55DF"/>
    <w:rsid w:val="008D5925"/>
    <w:rsid w:val="008D5B0A"/>
    <w:rsid w:val="008D6101"/>
    <w:rsid w:val="008D616F"/>
    <w:rsid w:val="008D6298"/>
    <w:rsid w:val="008D687D"/>
    <w:rsid w:val="008D6915"/>
    <w:rsid w:val="008D6DA3"/>
    <w:rsid w:val="008D6DD6"/>
    <w:rsid w:val="008D6E53"/>
    <w:rsid w:val="008D7152"/>
    <w:rsid w:val="008D71D1"/>
    <w:rsid w:val="008D73B0"/>
    <w:rsid w:val="008D7605"/>
    <w:rsid w:val="008D7A49"/>
    <w:rsid w:val="008D7ADC"/>
    <w:rsid w:val="008D7F19"/>
    <w:rsid w:val="008E0047"/>
    <w:rsid w:val="008E0539"/>
    <w:rsid w:val="008E05A7"/>
    <w:rsid w:val="008E060D"/>
    <w:rsid w:val="008E0F11"/>
    <w:rsid w:val="008E115B"/>
    <w:rsid w:val="008E175A"/>
    <w:rsid w:val="008E1AD3"/>
    <w:rsid w:val="008E1C5E"/>
    <w:rsid w:val="008E2322"/>
    <w:rsid w:val="008E2B0F"/>
    <w:rsid w:val="008E2FFD"/>
    <w:rsid w:val="008E3049"/>
    <w:rsid w:val="008E3150"/>
    <w:rsid w:val="008E3588"/>
    <w:rsid w:val="008E387B"/>
    <w:rsid w:val="008E3C57"/>
    <w:rsid w:val="008E3F2F"/>
    <w:rsid w:val="008E4027"/>
    <w:rsid w:val="008E4029"/>
    <w:rsid w:val="008E4594"/>
    <w:rsid w:val="008E4B93"/>
    <w:rsid w:val="008E4D58"/>
    <w:rsid w:val="008E4DE9"/>
    <w:rsid w:val="008E4F48"/>
    <w:rsid w:val="008E5019"/>
    <w:rsid w:val="008E501F"/>
    <w:rsid w:val="008E5439"/>
    <w:rsid w:val="008E5993"/>
    <w:rsid w:val="008E5C6A"/>
    <w:rsid w:val="008E6087"/>
    <w:rsid w:val="008E60AE"/>
    <w:rsid w:val="008E6547"/>
    <w:rsid w:val="008E6783"/>
    <w:rsid w:val="008E6989"/>
    <w:rsid w:val="008E6D5A"/>
    <w:rsid w:val="008E7180"/>
    <w:rsid w:val="008E72F6"/>
    <w:rsid w:val="008E74D1"/>
    <w:rsid w:val="008E758D"/>
    <w:rsid w:val="008E7916"/>
    <w:rsid w:val="008E7ACC"/>
    <w:rsid w:val="008E7B76"/>
    <w:rsid w:val="008E7E3A"/>
    <w:rsid w:val="008F000E"/>
    <w:rsid w:val="008F000F"/>
    <w:rsid w:val="008F005E"/>
    <w:rsid w:val="008F048E"/>
    <w:rsid w:val="008F10A7"/>
    <w:rsid w:val="008F142D"/>
    <w:rsid w:val="008F15EB"/>
    <w:rsid w:val="008F16CA"/>
    <w:rsid w:val="008F1B4B"/>
    <w:rsid w:val="008F20E4"/>
    <w:rsid w:val="008F2330"/>
    <w:rsid w:val="008F23BB"/>
    <w:rsid w:val="008F27AE"/>
    <w:rsid w:val="008F2915"/>
    <w:rsid w:val="008F2D3E"/>
    <w:rsid w:val="008F30CB"/>
    <w:rsid w:val="008F31F7"/>
    <w:rsid w:val="008F3352"/>
    <w:rsid w:val="008F3657"/>
    <w:rsid w:val="008F37ED"/>
    <w:rsid w:val="008F42DC"/>
    <w:rsid w:val="008F4C29"/>
    <w:rsid w:val="008F4CA8"/>
    <w:rsid w:val="008F4F23"/>
    <w:rsid w:val="008F503C"/>
    <w:rsid w:val="008F519B"/>
    <w:rsid w:val="008F54B7"/>
    <w:rsid w:val="008F5693"/>
    <w:rsid w:val="008F5CAA"/>
    <w:rsid w:val="008F5D5D"/>
    <w:rsid w:val="008F5F8F"/>
    <w:rsid w:val="008F62CB"/>
    <w:rsid w:val="008F6A98"/>
    <w:rsid w:val="008F6CA7"/>
    <w:rsid w:val="008F6CBC"/>
    <w:rsid w:val="008F755D"/>
    <w:rsid w:val="008F77BC"/>
    <w:rsid w:val="008F78E8"/>
    <w:rsid w:val="008F7A39"/>
    <w:rsid w:val="00900053"/>
    <w:rsid w:val="009005C5"/>
    <w:rsid w:val="009008EE"/>
    <w:rsid w:val="00900973"/>
    <w:rsid w:val="0090097D"/>
    <w:rsid w:val="00900DC2"/>
    <w:rsid w:val="00901072"/>
    <w:rsid w:val="009015C5"/>
    <w:rsid w:val="0090188F"/>
    <w:rsid w:val="0090199E"/>
    <w:rsid w:val="009019AB"/>
    <w:rsid w:val="009020D2"/>
    <w:rsid w:val="0090212C"/>
    <w:rsid w:val="009021E8"/>
    <w:rsid w:val="0090225A"/>
    <w:rsid w:val="0090261D"/>
    <w:rsid w:val="00902650"/>
    <w:rsid w:val="00902678"/>
    <w:rsid w:val="00902B89"/>
    <w:rsid w:val="00902C52"/>
    <w:rsid w:val="00902F3D"/>
    <w:rsid w:val="009032D0"/>
    <w:rsid w:val="009036DC"/>
    <w:rsid w:val="00903CA2"/>
    <w:rsid w:val="00903E17"/>
    <w:rsid w:val="00903E67"/>
    <w:rsid w:val="00903E85"/>
    <w:rsid w:val="0090421A"/>
    <w:rsid w:val="009044A5"/>
    <w:rsid w:val="00904677"/>
    <w:rsid w:val="00904A70"/>
    <w:rsid w:val="00904AC6"/>
    <w:rsid w:val="00904B91"/>
    <w:rsid w:val="00904E1E"/>
    <w:rsid w:val="0090579E"/>
    <w:rsid w:val="00905CF2"/>
    <w:rsid w:val="00905DC3"/>
    <w:rsid w:val="00905DD0"/>
    <w:rsid w:val="00905E87"/>
    <w:rsid w:val="00905EE2"/>
    <w:rsid w:val="00905EF9"/>
    <w:rsid w:val="00905F56"/>
    <w:rsid w:val="009060EB"/>
    <w:rsid w:val="009068B5"/>
    <w:rsid w:val="00906B13"/>
    <w:rsid w:val="00906B71"/>
    <w:rsid w:val="00906D9F"/>
    <w:rsid w:val="00906F08"/>
    <w:rsid w:val="009071AD"/>
    <w:rsid w:val="0090759D"/>
    <w:rsid w:val="00907669"/>
    <w:rsid w:val="00907782"/>
    <w:rsid w:val="00907950"/>
    <w:rsid w:val="009079BE"/>
    <w:rsid w:val="00910293"/>
    <w:rsid w:val="00910827"/>
    <w:rsid w:val="00910AF2"/>
    <w:rsid w:val="00910B0C"/>
    <w:rsid w:val="00910C61"/>
    <w:rsid w:val="00910CFB"/>
    <w:rsid w:val="00911440"/>
    <w:rsid w:val="009116E6"/>
    <w:rsid w:val="00911712"/>
    <w:rsid w:val="00911880"/>
    <w:rsid w:val="009118E5"/>
    <w:rsid w:val="00911943"/>
    <w:rsid w:val="00911B27"/>
    <w:rsid w:val="00912183"/>
    <w:rsid w:val="009122C5"/>
    <w:rsid w:val="00912750"/>
    <w:rsid w:val="00912B79"/>
    <w:rsid w:val="00912BA8"/>
    <w:rsid w:val="00912C0C"/>
    <w:rsid w:val="00912D63"/>
    <w:rsid w:val="00912FE5"/>
    <w:rsid w:val="00913017"/>
    <w:rsid w:val="00913659"/>
    <w:rsid w:val="00913752"/>
    <w:rsid w:val="00913858"/>
    <w:rsid w:val="00913D95"/>
    <w:rsid w:val="00913E32"/>
    <w:rsid w:val="00913E4C"/>
    <w:rsid w:val="0091406F"/>
    <w:rsid w:val="00914115"/>
    <w:rsid w:val="0091437F"/>
    <w:rsid w:val="0091461E"/>
    <w:rsid w:val="009146B4"/>
    <w:rsid w:val="00914A41"/>
    <w:rsid w:val="00914B27"/>
    <w:rsid w:val="00914F4E"/>
    <w:rsid w:val="00914FCB"/>
    <w:rsid w:val="009157A3"/>
    <w:rsid w:val="00915910"/>
    <w:rsid w:val="009164B5"/>
    <w:rsid w:val="009167A0"/>
    <w:rsid w:val="00916DE6"/>
    <w:rsid w:val="00916DF8"/>
    <w:rsid w:val="00916F0A"/>
    <w:rsid w:val="00916F8B"/>
    <w:rsid w:val="00917075"/>
    <w:rsid w:val="009170BE"/>
    <w:rsid w:val="009174A2"/>
    <w:rsid w:val="00917500"/>
    <w:rsid w:val="00917501"/>
    <w:rsid w:val="009176F3"/>
    <w:rsid w:val="00917B80"/>
    <w:rsid w:val="0092033F"/>
    <w:rsid w:val="0092071F"/>
    <w:rsid w:val="00920734"/>
    <w:rsid w:val="00920A90"/>
    <w:rsid w:val="00920B55"/>
    <w:rsid w:val="00920CAA"/>
    <w:rsid w:val="00920EE8"/>
    <w:rsid w:val="00921274"/>
    <w:rsid w:val="009215DA"/>
    <w:rsid w:val="009216F8"/>
    <w:rsid w:val="0092180F"/>
    <w:rsid w:val="0092184C"/>
    <w:rsid w:val="00921B50"/>
    <w:rsid w:val="009221AF"/>
    <w:rsid w:val="009225A1"/>
    <w:rsid w:val="00922C52"/>
    <w:rsid w:val="00923059"/>
    <w:rsid w:val="00923560"/>
    <w:rsid w:val="00923655"/>
    <w:rsid w:val="00923B60"/>
    <w:rsid w:val="0092429D"/>
    <w:rsid w:val="009243AD"/>
    <w:rsid w:val="009243D0"/>
    <w:rsid w:val="009243DC"/>
    <w:rsid w:val="009245A4"/>
    <w:rsid w:val="00924773"/>
    <w:rsid w:val="0092492D"/>
    <w:rsid w:val="0092534F"/>
    <w:rsid w:val="00925ABB"/>
    <w:rsid w:val="009262C9"/>
    <w:rsid w:val="00926387"/>
    <w:rsid w:val="009269E9"/>
    <w:rsid w:val="00926DB2"/>
    <w:rsid w:val="00927765"/>
    <w:rsid w:val="00927821"/>
    <w:rsid w:val="00927CDE"/>
    <w:rsid w:val="00927E39"/>
    <w:rsid w:val="00930118"/>
    <w:rsid w:val="00930270"/>
    <w:rsid w:val="00930307"/>
    <w:rsid w:val="0093036A"/>
    <w:rsid w:val="009304EC"/>
    <w:rsid w:val="0093064B"/>
    <w:rsid w:val="009308BE"/>
    <w:rsid w:val="00930A7B"/>
    <w:rsid w:val="00930C19"/>
    <w:rsid w:val="00930D9E"/>
    <w:rsid w:val="00930EB9"/>
    <w:rsid w:val="0093126C"/>
    <w:rsid w:val="00931302"/>
    <w:rsid w:val="0093136E"/>
    <w:rsid w:val="00931B9B"/>
    <w:rsid w:val="00931BB7"/>
    <w:rsid w:val="00931CCC"/>
    <w:rsid w:val="00931E46"/>
    <w:rsid w:val="00932194"/>
    <w:rsid w:val="00932283"/>
    <w:rsid w:val="0093281E"/>
    <w:rsid w:val="0093312F"/>
    <w:rsid w:val="00933233"/>
    <w:rsid w:val="00933D27"/>
    <w:rsid w:val="00933DC7"/>
    <w:rsid w:val="009340D7"/>
    <w:rsid w:val="009343CC"/>
    <w:rsid w:val="0093481B"/>
    <w:rsid w:val="009349DB"/>
    <w:rsid w:val="00934F65"/>
    <w:rsid w:val="0093504E"/>
    <w:rsid w:val="009351F6"/>
    <w:rsid w:val="00935303"/>
    <w:rsid w:val="00935376"/>
    <w:rsid w:val="009356EF"/>
    <w:rsid w:val="00935870"/>
    <w:rsid w:val="009359DD"/>
    <w:rsid w:val="00935A58"/>
    <w:rsid w:val="00935E7D"/>
    <w:rsid w:val="00936194"/>
    <w:rsid w:val="009362E7"/>
    <w:rsid w:val="009371E6"/>
    <w:rsid w:val="009373CF"/>
    <w:rsid w:val="0093756B"/>
    <w:rsid w:val="00937A5D"/>
    <w:rsid w:val="00937B4B"/>
    <w:rsid w:val="0094024A"/>
    <w:rsid w:val="0094060A"/>
    <w:rsid w:val="0094065C"/>
    <w:rsid w:val="00940DB8"/>
    <w:rsid w:val="0094148D"/>
    <w:rsid w:val="009418F4"/>
    <w:rsid w:val="00941C88"/>
    <w:rsid w:val="00941E61"/>
    <w:rsid w:val="00941EAF"/>
    <w:rsid w:val="00941ECF"/>
    <w:rsid w:val="00942164"/>
    <w:rsid w:val="009422BA"/>
    <w:rsid w:val="00942680"/>
    <w:rsid w:val="00942845"/>
    <w:rsid w:val="00942A89"/>
    <w:rsid w:val="00942BBC"/>
    <w:rsid w:val="00943070"/>
    <w:rsid w:val="0094315A"/>
    <w:rsid w:val="009432E2"/>
    <w:rsid w:val="00943371"/>
    <w:rsid w:val="009433AB"/>
    <w:rsid w:val="00943A35"/>
    <w:rsid w:val="00944180"/>
    <w:rsid w:val="009442D8"/>
    <w:rsid w:val="0094434F"/>
    <w:rsid w:val="00944761"/>
    <w:rsid w:val="009449EC"/>
    <w:rsid w:val="00944AA0"/>
    <w:rsid w:val="00944E98"/>
    <w:rsid w:val="00944F94"/>
    <w:rsid w:val="00945160"/>
    <w:rsid w:val="00945245"/>
    <w:rsid w:val="00945247"/>
    <w:rsid w:val="009453FF"/>
    <w:rsid w:val="009456BA"/>
    <w:rsid w:val="009456EA"/>
    <w:rsid w:val="00945AC1"/>
    <w:rsid w:val="00945B32"/>
    <w:rsid w:val="00945CC6"/>
    <w:rsid w:val="00945F56"/>
    <w:rsid w:val="00945FCA"/>
    <w:rsid w:val="009460BF"/>
    <w:rsid w:val="009465CF"/>
    <w:rsid w:val="0094666A"/>
    <w:rsid w:val="0094672C"/>
    <w:rsid w:val="00946B0D"/>
    <w:rsid w:val="00946E59"/>
    <w:rsid w:val="0094722C"/>
    <w:rsid w:val="009475B8"/>
    <w:rsid w:val="00947C55"/>
    <w:rsid w:val="00947D3E"/>
    <w:rsid w:val="00947DA2"/>
    <w:rsid w:val="00950AF0"/>
    <w:rsid w:val="00950B1F"/>
    <w:rsid w:val="00950E5E"/>
    <w:rsid w:val="00951177"/>
    <w:rsid w:val="009515D9"/>
    <w:rsid w:val="00951A6B"/>
    <w:rsid w:val="00951B11"/>
    <w:rsid w:val="00951B96"/>
    <w:rsid w:val="00951BE4"/>
    <w:rsid w:val="00951FF3"/>
    <w:rsid w:val="009524AA"/>
    <w:rsid w:val="0095296F"/>
    <w:rsid w:val="00952B92"/>
    <w:rsid w:val="00952C1F"/>
    <w:rsid w:val="00952CE2"/>
    <w:rsid w:val="009531C4"/>
    <w:rsid w:val="00953600"/>
    <w:rsid w:val="009539F6"/>
    <w:rsid w:val="0095401B"/>
    <w:rsid w:val="009542B1"/>
    <w:rsid w:val="00954402"/>
    <w:rsid w:val="00954C0E"/>
    <w:rsid w:val="00954C28"/>
    <w:rsid w:val="00954C63"/>
    <w:rsid w:val="00954ECE"/>
    <w:rsid w:val="009550EE"/>
    <w:rsid w:val="0095531D"/>
    <w:rsid w:val="00955625"/>
    <w:rsid w:val="0095577C"/>
    <w:rsid w:val="00955B7A"/>
    <w:rsid w:val="00955C02"/>
    <w:rsid w:val="00956340"/>
    <w:rsid w:val="009567AF"/>
    <w:rsid w:val="00956D96"/>
    <w:rsid w:val="00956E68"/>
    <w:rsid w:val="00956E9B"/>
    <w:rsid w:val="00956F2A"/>
    <w:rsid w:val="00957157"/>
    <w:rsid w:val="00957F2B"/>
    <w:rsid w:val="00957FD4"/>
    <w:rsid w:val="00960085"/>
    <w:rsid w:val="0096052A"/>
    <w:rsid w:val="00960726"/>
    <w:rsid w:val="009609C4"/>
    <w:rsid w:val="00961006"/>
    <w:rsid w:val="0096120A"/>
    <w:rsid w:val="00961549"/>
    <w:rsid w:val="00961898"/>
    <w:rsid w:val="00961ADE"/>
    <w:rsid w:val="00961E4C"/>
    <w:rsid w:val="00962504"/>
    <w:rsid w:val="009629E6"/>
    <w:rsid w:val="00962CB5"/>
    <w:rsid w:val="00962D50"/>
    <w:rsid w:val="00962DCA"/>
    <w:rsid w:val="00962E05"/>
    <w:rsid w:val="00962E5F"/>
    <w:rsid w:val="00963428"/>
    <w:rsid w:val="009637E8"/>
    <w:rsid w:val="00963816"/>
    <w:rsid w:val="009638AB"/>
    <w:rsid w:val="00963ADF"/>
    <w:rsid w:val="00963B22"/>
    <w:rsid w:val="00964079"/>
    <w:rsid w:val="0096408A"/>
    <w:rsid w:val="0096416C"/>
    <w:rsid w:val="009648A7"/>
    <w:rsid w:val="00964CBE"/>
    <w:rsid w:val="00964DA0"/>
    <w:rsid w:val="00965270"/>
    <w:rsid w:val="009655C8"/>
    <w:rsid w:val="00965C08"/>
    <w:rsid w:val="00965E8A"/>
    <w:rsid w:val="00966138"/>
    <w:rsid w:val="00966E47"/>
    <w:rsid w:val="00967163"/>
    <w:rsid w:val="009673A5"/>
    <w:rsid w:val="009673E8"/>
    <w:rsid w:val="00967D13"/>
    <w:rsid w:val="00970640"/>
    <w:rsid w:val="009707B0"/>
    <w:rsid w:val="0097094F"/>
    <w:rsid w:val="00970AC2"/>
    <w:rsid w:val="00970F16"/>
    <w:rsid w:val="00971865"/>
    <w:rsid w:val="00971BB6"/>
    <w:rsid w:val="00971C33"/>
    <w:rsid w:val="00971F77"/>
    <w:rsid w:val="009724CB"/>
    <w:rsid w:val="0097280F"/>
    <w:rsid w:val="00972EC9"/>
    <w:rsid w:val="00972FFE"/>
    <w:rsid w:val="00973136"/>
    <w:rsid w:val="009731EF"/>
    <w:rsid w:val="009734A2"/>
    <w:rsid w:val="0097361F"/>
    <w:rsid w:val="00973713"/>
    <w:rsid w:val="009738C3"/>
    <w:rsid w:val="009741D9"/>
    <w:rsid w:val="0097435F"/>
    <w:rsid w:val="0097446C"/>
    <w:rsid w:val="00974533"/>
    <w:rsid w:val="0097469F"/>
    <w:rsid w:val="009749BE"/>
    <w:rsid w:val="00974B10"/>
    <w:rsid w:val="00974DB8"/>
    <w:rsid w:val="009754C1"/>
    <w:rsid w:val="00975634"/>
    <w:rsid w:val="00975993"/>
    <w:rsid w:val="009759CC"/>
    <w:rsid w:val="00975D7E"/>
    <w:rsid w:val="00975E89"/>
    <w:rsid w:val="00975F11"/>
    <w:rsid w:val="00976E6E"/>
    <w:rsid w:val="009771B6"/>
    <w:rsid w:val="00977416"/>
    <w:rsid w:val="009774B4"/>
    <w:rsid w:val="009779B1"/>
    <w:rsid w:val="00980568"/>
    <w:rsid w:val="0098063C"/>
    <w:rsid w:val="00980661"/>
    <w:rsid w:val="0098093B"/>
    <w:rsid w:val="00980BE5"/>
    <w:rsid w:val="00980F7C"/>
    <w:rsid w:val="009810F8"/>
    <w:rsid w:val="00981196"/>
    <w:rsid w:val="0098123F"/>
    <w:rsid w:val="009813EE"/>
    <w:rsid w:val="00981808"/>
    <w:rsid w:val="00981865"/>
    <w:rsid w:val="00981BD2"/>
    <w:rsid w:val="00981DE8"/>
    <w:rsid w:val="00982493"/>
    <w:rsid w:val="00982814"/>
    <w:rsid w:val="009829B8"/>
    <w:rsid w:val="00982CF8"/>
    <w:rsid w:val="009831B5"/>
    <w:rsid w:val="0098347B"/>
    <w:rsid w:val="00983595"/>
    <w:rsid w:val="0098368D"/>
    <w:rsid w:val="00983693"/>
    <w:rsid w:val="009837C2"/>
    <w:rsid w:val="009838D6"/>
    <w:rsid w:val="00983988"/>
    <w:rsid w:val="00983C61"/>
    <w:rsid w:val="00983E1B"/>
    <w:rsid w:val="00983ECA"/>
    <w:rsid w:val="009840CE"/>
    <w:rsid w:val="009840E2"/>
    <w:rsid w:val="009847E9"/>
    <w:rsid w:val="009849DC"/>
    <w:rsid w:val="00984E1F"/>
    <w:rsid w:val="00984E29"/>
    <w:rsid w:val="00985164"/>
    <w:rsid w:val="009855D5"/>
    <w:rsid w:val="00985832"/>
    <w:rsid w:val="00985990"/>
    <w:rsid w:val="00985D6E"/>
    <w:rsid w:val="009864A1"/>
    <w:rsid w:val="00986685"/>
    <w:rsid w:val="009866F0"/>
    <w:rsid w:val="00986E17"/>
    <w:rsid w:val="00987025"/>
    <w:rsid w:val="00987071"/>
    <w:rsid w:val="009876D4"/>
    <w:rsid w:val="00987A16"/>
    <w:rsid w:val="00987E52"/>
    <w:rsid w:val="00990089"/>
    <w:rsid w:val="009901DC"/>
    <w:rsid w:val="00990370"/>
    <w:rsid w:val="009907A8"/>
    <w:rsid w:val="009908F4"/>
    <w:rsid w:val="00990DE8"/>
    <w:rsid w:val="00990EAB"/>
    <w:rsid w:val="0099122F"/>
    <w:rsid w:val="0099127E"/>
    <w:rsid w:val="009914A5"/>
    <w:rsid w:val="00991CAB"/>
    <w:rsid w:val="00991E50"/>
    <w:rsid w:val="009922F5"/>
    <w:rsid w:val="009923FE"/>
    <w:rsid w:val="0099246F"/>
    <w:rsid w:val="00992908"/>
    <w:rsid w:val="00992CB1"/>
    <w:rsid w:val="00992CC3"/>
    <w:rsid w:val="009933C7"/>
    <w:rsid w:val="00993465"/>
    <w:rsid w:val="009936DE"/>
    <w:rsid w:val="00993A1D"/>
    <w:rsid w:val="00993B02"/>
    <w:rsid w:val="00993BF0"/>
    <w:rsid w:val="00993E3A"/>
    <w:rsid w:val="009942DD"/>
    <w:rsid w:val="00994507"/>
    <w:rsid w:val="00994B62"/>
    <w:rsid w:val="00994BD7"/>
    <w:rsid w:val="00994C93"/>
    <w:rsid w:val="0099548E"/>
    <w:rsid w:val="0099584E"/>
    <w:rsid w:val="00995857"/>
    <w:rsid w:val="00995AE7"/>
    <w:rsid w:val="00995C68"/>
    <w:rsid w:val="00995EF7"/>
    <w:rsid w:val="00996158"/>
    <w:rsid w:val="009962F7"/>
    <w:rsid w:val="00996456"/>
    <w:rsid w:val="00996964"/>
    <w:rsid w:val="00996A12"/>
    <w:rsid w:val="00996F6E"/>
    <w:rsid w:val="009971DA"/>
    <w:rsid w:val="00997773"/>
    <w:rsid w:val="00997945"/>
    <w:rsid w:val="00997948"/>
    <w:rsid w:val="00997B0F"/>
    <w:rsid w:val="00997DEC"/>
    <w:rsid w:val="009A0068"/>
    <w:rsid w:val="009A028E"/>
    <w:rsid w:val="009A02A8"/>
    <w:rsid w:val="009A0504"/>
    <w:rsid w:val="009A0755"/>
    <w:rsid w:val="009A0B6F"/>
    <w:rsid w:val="009A0C8D"/>
    <w:rsid w:val="009A0CC3"/>
    <w:rsid w:val="009A0FCB"/>
    <w:rsid w:val="009A138B"/>
    <w:rsid w:val="009A1443"/>
    <w:rsid w:val="009A19CB"/>
    <w:rsid w:val="009A1CAD"/>
    <w:rsid w:val="009A2263"/>
    <w:rsid w:val="009A27D6"/>
    <w:rsid w:val="009A2953"/>
    <w:rsid w:val="009A2EB0"/>
    <w:rsid w:val="009A337D"/>
    <w:rsid w:val="009A3393"/>
    <w:rsid w:val="009A3440"/>
    <w:rsid w:val="009A39A6"/>
    <w:rsid w:val="009A3C5A"/>
    <w:rsid w:val="009A421C"/>
    <w:rsid w:val="009A4384"/>
    <w:rsid w:val="009A43BA"/>
    <w:rsid w:val="009A43C7"/>
    <w:rsid w:val="009A4523"/>
    <w:rsid w:val="009A46BD"/>
    <w:rsid w:val="009A49E9"/>
    <w:rsid w:val="009A4A55"/>
    <w:rsid w:val="009A4D94"/>
    <w:rsid w:val="009A5115"/>
    <w:rsid w:val="009A5406"/>
    <w:rsid w:val="009A5832"/>
    <w:rsid w:val="009A597A"/>
    <w:rsid w:val="009A5A15"/>
    <w:rsid w:val="009A5AEF"/>
    <w:rsid w:val="009A6036"/>
    <w:rsid w:val="009A6776"/>
    <w:rsid w:val="009A6838"/>
    <w:rsid w:val="009A6A09"/>
    <w:rsid w:val="009A70F8"/>
    <w:rsid w:val="009A73B5"/>
    <w:rsid w:val="009A73BD"/>
    <w:rsid w:val="009A73E8"/>
    <w:rsid w:val="009A75E8"/>
    <w:rsid w:val="009A7BE9"/>
    <w:rsid w:val="009A7C41"/>
    <w:rsid w:val="009B047A"/>
    <w:rsid w:val="009B0765"/>
    <w:rsid w:val="009B0C3F"/>
    <w:rsid w:val="009B1027"/>
    <w:rsid w:val="009B1284"/>
    <w:rsid w:val="009B13DB"/>
    <w:rsid w:val="009B157A"/>
    <w:rsid w:val="009B1637"/>
    <w:rsid w:val="009B198B"/>
    <w:rsid w:val="009B1A21"/>
    <w:rsid w:val="009B1BBC"/>
    <w:rsid w:val="009B1CA2"/>
    <w:rsid w:val="009B2054"/>
    <w:rsid w:val="009B2146"/>
    <w:rsid w:val="009B24B5"/>
    <w:rsid w:val="009B2552"/>
    <w:rsid w:val="009B27C2"/>
    <w:rsid w:val="009B288D"/>
    <w:rsid w:val="009B29B8"/>
    <w:rsid w:val="009B29E4"/>
    <w:rsid w:val="009B2B1E"/>
    <w:rsid w:val="009B2B88"/>
    <w:rsid w:val="009B2DA8"/>
    <w:rsid w:val="009B3448"/>
    <w:rsid w:val="009B3D2C"/>
    <w:rsid w:val="009B45DA"/>
    <w:rsid w:val="009B474A"/>
    <w:rsid w:val="009B4937"/>
    <w:rsid w:val="009B4E50"/>
    <w:rsid w:val="009B4EBC"/>
    <w:rsid w:val="009B54E3"/>
    <w:rsid w:val="009B5754"/>
    <w:rsid w:val="009B5ABB"/>
    <w:rsid w:val="009B5CF1"/>
    <w:rsid w:val="009B5F7F"/>
    <w:rsid w:val="009B6308"/>
    <w:rsid w:val="009B7000"/>
    <w:rsid w:val="009B73CE"/>
    <w:rsid w:val="009B73EA"/>
    <w:rsid w:val="009B78F4"/>
    <w:rsid w:val="009B795A"/>
    <w:rsid w:val="009B797A"/>
    <w:rsid w:val="009B7C69"/>
    <w:rsid w:val="009B7CB3"/>
    <w:rsid w:val="009B7CE4"/>
    <w:rsid w:val="009B7E13"/>
    <w:rsid w:val="009C00C0"/>
    <w:rsid w:val="009C00C1"/>
    <w:rsid w:val="009C034A"/>
    <w:rsid w:val="009C041A"/>
    <w:rsid w:val="009C0772"/>
    <w:rsid w:val="009C0B57"/>
    <w:rsid w:val="009C0E6E"/>
    <w:rsid w:val="009C1011"/>
    <w:rsid w:val="009C1391"/>
    <w:rsid w:val="009C13DC"/>
    <w:rsid w:val="009C18A1"/>
    <w:rsid w:val="009C1CA6"/>
    <w:rsid w:val="009C1DA0"/>
    <w:rsid w:val="009C1E2C"/>
    <w:rsid w:val="009C2413"/>
    <w:rsid w:val="009C2461"/>
    <w:rsid w:val="009C2676"/>
    <w:rsid w:val="009C2F23"/>
    <w:rsid w:val="009C3608"/>
    <w:rsid w:val="009C3999"/>
    <w:rsid w:val="009C481A"/>
    <w:rsid w:val="009C494A"/>
    <w:rsid w:val="009C4FAD"/>
    <w:rsid w:val="009C4FEC"/>
    <w:rsid w:val="009C510F"/>
    <w:rsid w:val="009C5629"/>
    <w:rsid w:val="009C5642"/>
    <w:rsid w:val="009C5A15"/>
    <w:rsid w:val="009C5F89"/>
    <w:rsid w:val="009C6084"/>
    <w:rsid w:val="009C6258"/>
    <w:rsid w:val="009C6285"/>
    <w:rsid w:val="009C62F9"/>
    <w:rsid w:val="009C6351"/>
    <w:rsid w:val="009C684A"/>
    <w:rsid w:val="009C6BA1"/>
    <w:rsid w:val="009C6FAA"/>
    <w:rsid w:val="009C6FDB"/>
    <w:rsid w:val="009C6FE2"/>
    <w:rsid w:val="009C72C4"/>
    <w:rsid w:val="009C7594"/>
    <w:rsid w:val="009C7674"/>
    <w:rsid w:val="009C7698"/>
    <w:rsid w:val="009C76CB"/>
    <w:rsid w:val="009C789D"/>
    <w:rsid w:val="009C792B"/>
    <w:rsid w:val="009C7A4B"/>
    <w:rsid w:val="009D004A"/>
    <w:rsid w:val="009D083C"/>
    <w:rsid w:val="009D08BB"/>
    <w:rsid w:val="009D0919"/>
    <w:rsid w:val="009D128D"/>
    <w:rsid w:val="009D16B8"/>
    <w:rsid w:val="009D1786"/>
    <w:rsid w:val="009D1787"/>
    <w:rsid w:val="009D19B4"/>
    <w:rsid w:val="009D1A24"/>
    <w:rsid w:val="009D1BE5"/>
    <w:rsid w:val="009D22F1"/>
    <w:rsid w:val="009D23C9"/>
    <w:rsid w:val="009D2435"/>
    <w:rsid w:val="009D25AA"/>
    <w:rsid w:val="009D25E5"/>
    <w:rsid w:val="009D25EF"/>
    <w:rsid w:val="009D284A"/>
    <w:rsid w:val="009D2DCC"/>
    <w:rsid w:val="009D3608"/>
    <w:rsid w:val="009D36BC"/>
    <w:rsid w:val="009D3A1B"/>
    <w:rsid w:val="009D3C2F"/>
    <w:rsid w:val="009D3C52"/>
    <w:rsid w:val="009D4022"/>
    <w:rsid w:val="009D4031"/>
    <w:rsid w:val="009D4936"/>
    <w:rsid w:val="009D49B8"/>
    <w:rsid w:val="009D4A99"/>
    <w:rsid w:val="009D4D16"/>
    <w:rsid w:val="009D507A"/>
    <w:rsid w:val="009D5348"/>
    <w:rsid w:val="009D5368"/>
    <w:rsid w:val="009D5386"/>
    <w:rsid w:val="009D5408"/>
    <w:rsid w:val="009D5835"/>
    <w:rsid w:val="009D5852"/>
    <w:rsid w:val="009D5880"/>
    <w:rsid w:val="009D594A"/>
    <w:rsid w:val="009D5C37"/>
    <w:rsid w:val="009D5C74"/>
    <w:rsid w:val="009D5EDC"/>
    <w:rsid w:val="009D622F"/>
    <w:rsid w:val="009D64C2"/>
    <w:rsid w:val="009D66C2"/>
    <w:rsid w:val="009D67C9"/>
    <w:rsid w:val="009D6A91"/>
    <w:rsid w:val="009D6EAF"/>
    <w:rsid w:val="009D70CC"/>
    <w:rsid w:val="009D713D"/>
    <w:rsid w:val="009D7714"/>
    <w:rsid w:val="009D7D9A"/>
    <w:rsid w:val="009D7D9B"/>
    <w:rsid w:val="009D7FD8"/>
    <w:rsid w:val="009E00E5"/>
    <w:rsid w:val="009E02DD"/>
    <w:rsid w:val="009E02F2"/>
    <w:rsid w:val="009E0A82"/>
    <w:rsid w:val="009E0D51"/>
    <w:rsid w:val="009E15D1"/>
    <w:rsid w:val="009E1661"/>
    <w:rsid w:val="009E1BF7"/>
    <w:rsid w:val="009E1D5F"/>
    <w:rsid w:val="009E1E54"/>
    <w:rsid w:val="009E1FD4"/>
    <w:rsid w:val="009E2106"/>
    <w:rsid w:val="009E21C7"/>
    <w:rsid w:val="009E23E9"/>
    <w:rsid w:val="009E243A"/>
    <w:rsid w:val="009E2943"/>
    <w:rsid w:val="009E2B4F"/>
    <w:rsid w:val="009E2CBA"/>
    <w:rsid w:val="009E303F"/>
    <w:rsid w:val="009E3192"/>
    <w:rsid w:val="009E340E"/>
    <w:rsid w:val="009E3417"/>
    <w:rsid w:val="009E3B07"/>
    <w:rsid w:val="009E3C1C"/>
    <w:rsid w:val="009E3E64"/>
    <w:rsid w:val="009E4061"/>
    <w:rsid w:val="009E41AF"/>
    <w:rsid w:val="009E45EE"/>
    <w:rsid w:val="009E4E82"/>
    <w:rsid w:val="009E500F"/>
    <w:rsid w:val="009E5117"/>
    <w:rsid w:val="009E51D1"/>
    <w:rsid w:val="009E5531"/>
    <w:rsid w:val="009E564E"/>
    <w:rsid w:val="009E5B30"/>
    <w:rsid w:val="009E5C6C"/>
    <w:rsid w:val="009E5CE5"/>
    <w:rsid w:val="009E5DEC"/>
    <w:rsid w:val="009E624B"/>
    <w:rsid w:val="009E62B3"/>
    <w:rsid w:val="009E6660"/>
    <w:rsid w:val="009E692B"/>
    <w:rsid w:val="009E71FF"/>
    <w:rsid w:val="009E7416"/>
    <w:rsid w:val="009E762B"/>
    <w:rsid w:val="009E772A"/>
    <w:rsid w:val="009E78C6"/>
    <w:rsid w:val="009E7978"/>
    <w:rsid w:val="009E7A6E"/>
    <w:rsid w:val="009E7A81"/>
    <w:rsid w:val="009E7A91"/>
    <w:rsid w:val="009E7DC2"/>
    <w:rsid w:val="009F0633"/>
    <w:rsid w:val="009F0C55"/>
    <w:rsid w:val="009F0E53"/>
    <w:rsid w:val="009F0F98"/>
    <w:rsid w:val="009F1412"/>
    <w:rsid w:val="009F14C8"/>
    <w:rsid w:val="009F15D4"/>
    <w:rsid w:val="009F171E"/>
    <w:rsid w:val="009F1F52"/>
    <w:rsid w:val="009F2341"/>
    <w:rsid w:val="009F2513"/>
    <w:rsid w:val="009F256E"/>
    <w:rsid w:val="009F2738"/>
    <w:rsid w:val="009F2950"/>
    <w:rsid w:val="009F2956"/>
    <w:rsid w:val="009F29EB"/>
    <w:rsid w:val="009F3477"/>
    <w:rsid w:val="009F35DC"/>
    <w:rsid w:val="009F37FE"/>
    <w:rsid w:val="009F3D2F"/>
    <w:rsid w:val="009F3D6A"/>
    <w:rsid w:val="009F430D"/>
    <w:rsid w:val="009F461F"/>
    <w:rsid w:val="009F496F"/>
    <w:rsid w:val="009F5322"/>
    <w:rsid w:val="009F535E"/>
    <w:rsid w:val="009F54B0"/>
    <w:rsid w:val="009F57E0"/>
    <w:rsid w:val="009F5968"/>
    <w:rsid w:val="009F5AA2"/>
    <w:rsid w:val="009F5BC4"/>
    <w:rsid w:val="009F5DF2"/>
    <w:rsid w:val="009F6480"/>
    <w:rsid w:val="009F676F"/>
    <w:rsid w:val="009F6D7D"/>
    <w:rsid w:val="009F6DE1"/>
    <w:rsid w:val="009F7037"/>
    <w:rsid w:val="009F7052"/>
    <w:rsid w:val="009F708B"/>
    <w:rsid w:val="009F7279"/>
    <w:rsid w:val="009F7528"/>
    <w:rsid w:val="009F7876"/>
    <w:rsid w:val="009F7C8E"/>
    <w:rsid w:val="009F7CAF"/>
    <w:rsid w:val="00A00123"/>
    <w:rsid w:val="00A003C3"/>
    <w:rsid w:val="00A0072E"/>
    <w:rsid w:val="00A00A12"/>
    <w:rsid w:val="00A015DF"/>
    <w:rsid w:val="00A01995"/>
    <w:rsid w:val="00A01C14"/>
    <w:rsid w:val="00A01D36"/>
    <w:rsid w:val="00A01E0E"/>
    <w:rsid w:val="00A02122"/>
    <w:rsid w:val="00A024E8"/>
    <w:rsid w:val="00A02668"/>
    <w:rsid w:val="00A02801"/>
    <w:rsid w:val="00A02B38"/>
    <w:rsid w:val="00A02F84"/>
    <w:rsid w:val="00A0342C"/>
    <w:rsid w:val="00A0383B"/>
    <w:rsid w:val="00A03B24"/>
    <w:rsid w:val="00A03ECC"/>
    <w:rsid w:val="00A0424E"/>
    <w:rsid w:val="00A045DF"/>
    <w:rsid w:val="00A0461D"/>
    <w:rsid w:val="00A04BFD"/>
    <w:rsid w:val="00A04F31"/>
    <w:rsid w:val="00A050C8"/>
    <w:rsid w:val="00A05303"/>
    <w:rsid w:val="00A0551A"/>
    <w:rsid w:val="00A055D5"/>
    <w:rsid w:val="00A0572A"/>
    <w:rsid w:val="00A05EC2"/>
    <w:rsid w:val="00A067A5"/>
    <w:rsid w:val="00A067F0"/>
    <w:rsid w:val="00A06940"/>
    <w:rsid w:val="00A0696A"/>
    <w:rsid w:val="00A06A39"/>
    <w:rsid w:val="00A06BF8"/>
    <w:rsid w:val="00A06C4C"/>
    <w:rsid w:val="00A06FF1"/>
    <w:rsid w:val="00A07AED"/>
    <w:rsid w:val="00A07B8D"/>
    <w:rsid w:val="00A07F58"/>
    <w:rsid w:val="00A10296"/>
    <w:rsid w:val="00A1032A"/>
    <w:rsid w:val="00A1061F"/>
    <w:rsid w:val="00A10C4C"/>
    <w:rsid w:val="00A1100E"/>
    <w:rsid w:val="00A1103B"/>
    <w:rsid w:val="00A11172"/>
    <w:rsid w:val="00A11263"/>
    <w:rsid w:val="00A1192E"/>
    <w:rsid w:val="00A11BF8"/>
    <w:rsid w:val="00A12089"/>
    <w:rsid w:val="00A1213F"/>
    <w:rsid w:val="00A12242"/>
    <w:rsid w:val="00A1243C"/>
    <w:rsid w:val="00A12469"/>
    <w:rsid w:val="00A12AC6"/>
    <w:rsid w:val="00A13184"/>
    <w:rsid w:val="00A131CB"/>
    <w:rsid w:val="00A1371E"/>
    <w:rsid w:val="00A13AD3"/>
    <w:rsid w:val="00A13F02"/>
    <w:rsid w:val="00A13FAD"/>
    <w:rsid w:val="00A14847"/>
    <w:rsid w:val="00A14E1B"/>
    <w:rsid w:val="00A1519E"/>
    <w:rsid w:val="00A15438"/>
    <w:rsid w:val="00A15612"/>
    <w:rsid w:val="00A15B74"/>
    <w:rsid w:val="00A15F5D"/>
    <w:rsid w:val="00A16D6D"/>
    <w:rsid w:val="00A16E60"/>
    <w:rsid w:val="00A16F11"/>
    <w:rsid w:val="00A17014"/>
    <w:rsid w:val="00A174E8"/>
    <w:rsid w:val="00A17935"/>
    <w:rsid w:val="00A17944"/>
    <w:rsid w:val="00A179A3"/>
    <w:rsid w:val="00A17ED6"/>
    <w:rsid w:val="00A20010"/>
    <w:rsid w:val="00A2021B"/>
    <w:rsid w:val="00A20363"/>
    <w:rsid w:val="00A205E2"/>
    <w:rsid w:val="00A207A1"/>
    <w:rsid w:val="00A20858"/>
    <w:rsid w:val="00A209A5"/>
    <w:rsid w:val="00A20A59"/>
    <w:rsid w:val="00A20F94"/>
    <w:rsid w:val="00A21164"/>
    <w:rsid w:val="00A21383"/>
    <w:rsid w:val="00A21422"/>
    <w:rsid w:val="00A21673"/>
    <w:rsid w:val="00A2199F"/>
    <w:rsid w:val="00A21B31"/>
    <w:rsid w:val="00A21D7A"/>
    <w:rsid w:val="00A21F50"/>
    <w:rsid w:val="00A21FAA"/>
    <w:rsid w:val="00A2224D"/>
    <w:rsid w:val="00A224E7"/>
    <w:rsid w:val="00A2258B"/>
    <w:rsid w:val="00A22AC5"/>
    <w:rsid w:val="00A22B44"/>
    <w:rsid w:val="00A22C3C"/>
    <w:rsid w:val="00A22C51"/>
    <w:rsid w:val="00A22DCA"/>
    <w:rsid w:val="00A22E30"/>
    <w:rsid w:val="00A22F93"/>
    <w:rsid w:val="00A23230"/>
    <w:rsid w:val="00A232D1"/>
    <w:rsid w:val="00A234FA"/>
    <w:rsid w:val="00A23535"/>
    <w:rsid w:val="00A2360E"/>
    <w:rsid w:val="00A2366D"/>
    <w:rsid w:val="00A23817"/>
    <w:rsid w:val="00A2387A"/>
    <w:rsid w:val="00A238CA"/>
    <w:rsid w:val="00A23BBB"/>
    <w:rsid w:val="00A23CA6"/>
    <w:rsid w:val="00A23CE3"/>
    <w:rsid w:val="00A243B5"/>
    <w:rsid w:val="00A24A42"/>
    <w:rsid w:val="00A24FF2"/>
    <w:rsid w:val="00A2509D"/>
    <w:rsid w:val="00A2570F"/>
    <w:rsid w:val="00A258DE"/>
    <w:rsid w:val="00A25BC7"/>
    <w:rsid w:val="00A25BCE"/>
    <w:rsid w:val="00A25BFB"/>
    <w:rsid w:val="00A25F7B"/>
    <w:rsid w:val="00A25FC0"/>
    <w:rsid w:val="00A263A0"/>
    <w:rsid w:val="00A2652D"/>
    <w:rsid w:val="00A266C2"/>
    <w:rsid w:val="00A26858"/>
    <w:rsid w:val="00A269FF"/>
    <w:rsid w:val="00A26E0C"/>
    <w:rsid w:val="00A27751"/>
    <w:rsid w:val="00A27F11"/>
    <w:rsid w:val="00A302F3"/>
    <w:rsid w:val="00A309C6"/>
    <w:rsid w:val="00A30B13"/>
    <w:rsid w:val="00A30C9B"/>
    <w:rsid w:val="00A30F41"/>
    <w:rsid w:val="00A310C8"/>
    <w:rsid w:val="00A3171A"/>
    <w:rsid w:val="00A31B93"/>
    <w:rsid w:val="00A32027"/>
    <w:rsid w:val="00A320E1"/>
    <w:rsid w:val="00A3238A"/>
    <w:rsid w:val="00A323CA"/>
    <w:rsid w:val="00A32E09"/>
    <w:rsid w:val="00A32FCB"/>
    <w:rsid w:val="00A33FEB"/>
    <w:rsid w:val="00A34100"/>
    <w:rsid w:val="00A348D3"/>
    <w:rsid w:val="00A34B01"/>
    <w:rsid w:val="00A34BE2"/>
    <w:rsid w:val="00A34C25"/>
    <w:rsid w:val="00A34E12"/>
    <w:rsid w:val="00A3507D"/>
    <w:rsid w:val="00A3559A"/>
    <w:rsid w:val="00A357AE"/>
    <w:rsid w:val="00A35BBE"/>
    <w:rsid w:val="00A36D4B"/>
    <w:rsid w:val="00A36DD1"/>
    <w:rsid w:val="00A36E67"/>
    <w:rsid w:val="00A36FF1"/>
    <w:rsid w:val="00A3717A"/>
    <w:rsid w:val="00A371BC"/>
    <w:rsid w:val="00A372A5"/>
    <w:rsid w:val="00A373A7"/>
    <w:rsid w:val="00A37433"/>
    <w:rsid w:val="00A37FEE"/>
    <w:rsid w:val="00A4088C"/>
    <w:rsid w:val="00A40D9B"/>
    <w:rsid w:val="00A41244"/>
    <w:rsid w:val="00A4158B"/>
    <w:rsid w:val="00A416CC"/>
    <w:rsid w:val="00A41978"/>
    <w:rsid w:val="00A41E67"/>
    <w:rsid w:val="00A41F5F"/>
    <w:rsid w:val="00A42182"/>
    <w:rsid w:val="00A4285B"/>
    <w:rsid w:val="00A429B5"/>
    <w:rsid w:val="00A43214"/>
    <w:rsid w:val="00A432B1"/>
    <w:rsid w:val="00A435D6"/>
    <w:rsid w:val="00A43FCE"/>
    <w:rsid w:val="00A4412B"/>
    <w:rsid w:val="00A44330"/>
    <w:rsid w:val="00A4456B"/>
    <w:rsid w:val="00A448AF"/>
    <w:rsid w:val="00A448D4"/>
    <w:rsid w:val="00A44D6A"/>
    <w:rsid w:val="00A44DF6"/>
    <w:rsid w:val="00A452E0"/>
    <w:rsid w:val="00A45FD7"/>
    <w:rsid w:val="00A462A7"/>
    <w:rsid w:val="00A4647D"/>
    <w:rsid w:val="00A46E9A"/>
    <w:rsid w:val="00A473EB"/>
    <w:rsid w:val="00A47B8E"/>
    <w:rsid w:val="00A47C14"/>
    <w:rsid w:val="00A47C4D"/>
    <w:rsid w:val="00A5015B"/>
    <w:rsid w:val="00A50181"/>
    <w:rsid w:val="00A50235"/>
    <w:rsid w:val="00A50250"/>
    <w:rsid w:val="00A50442"/>
    <w:rsid w:val="00A506DF"/>
    <w:rsid w:val="00A507E7"/>
    <w:rsid w:val="00A50A33"/>
    <w:rsid w:val="00A5114A"/>
    <w:rsid w:val="00A514DF"/>
    <w:rsid w:val="00A51659"/>
    <w:rsid w:val="00A51B01"/>
    <w:rsid w:val="00A51EA5"/>
    <w:rsid w:val="00A52246"/>
    <w:rsid w:val="00A52425"/>
    <w:rsid w:val="00A526CB"/>
    <w:rsid w:val="00A5281D"/>
    <w:rsid w:val="00A52A3A"/>
    <w:rsid w:val="00A53029"/>
    <w:rsid w:val="00A53680"/>
    <w:rsid w:val="00A53742"/>
    <w:rsid w:val="00A545EB"/>
    <w:rsid w:val="00A54604"/>
    <w:rsid w:val="00A54859"/>
    <w:rsid w:val="00A5493C"/>
    <w:rsid w:val="00A5496B"/>
    <w:rsid w:val="00A54EFE"/>
    <w:rsid w:val="00A550E2"/>
    <w:rsid w:val="00A551B8"/>
    <w:rsid w:val="00A55473"/>
    <w:rsid w:val="00A55503"/>
    <w:rsid w:val="00A555B3"/>
    <w:rsid w:val="00A557A1"/>
    <w:rsid w:val="00A55AF3"/>
    <w:rsid w:val="00A55CD0"/>
    <w:rsid w:val="00A5623E"/>
    <w:rsid w:val="00A56399"/>
    <w:rsid w:val="00A56A49"/>
    <w:rsid w:val="00A56F74"/>
    <w:rsid w:val="00A56FD8"/>
    <w:rsid w:val="00A570B2"/>
    <w:rsid w:val="00A57162"/>
    <w:rsid w:val="00A573D0"/>
    <w:rsid w:val="00A57FF5"/>
    <w:rsid w:val="00A6054B"/>
    <w:rsid w:val="00A60626"/>
    <w:rsid w:val="00A606FB"/>
    <w:rsid w:val="00A6072C"/>
    <w:rsid w:val="00A60832"/>
    <w:rsid w:val="00A608E5"/>
    <w:rsid w:val="00A60AE2"/>
    <w:rsid w:val="00A6142D"/>
    <w:rsid w:val="00A61553"/>
    <w:rsid w:val="00A61829"/>
    <w:rsid w:val="00A618CA"/>
    <w:rsid w:val="00A6199B"/>
    <w:rsid w:val="00A61B0A"/>
    <w:rsid w:val="00A61FC5"/>
    <w:rsid w:val="00A623E6"/>
    <w:rsid w:val="00A625C8"/>
    <w:rsid w:val="00A63059"/>
    <w:rsid w:val="00A6342C"/>
    <w:rsid w:val="00A6349D"/>
    <w:rsid w:val="00A63AE3"/>
    <w:rsid w:val="00A63D1B"/>
    <w:rsid w:val="00A63F8C"/>
    <w:rsid w:val="00A6402C"/>
    <w:rsid w:val="00A646AD"/>
    <w:rsid w:val="00A64AB9"/>
    <w:rsid w:val="00A64C3B"/>
    <w:rsid w:val="00A64F20"/>
    <w:rsid w:val="00A65107"/>
    <w:rsid w:val="00A651A4"/>
    <w:rsid w:val="00A654AD"/>
    <w:rsid w:val="00A657B9"/>
    <w:rsid w:val="00A657E1"/>
    <w:rsid w:val="00A65921"/>
    <w:rsid w:val="00A65B26"/>
    <w:rsid w:val="00A65B36"/>
    <w:rsid w:val="00A66440"/>
    <w:rsid w:val="00A66643"/>
    <w:rsid w:val="00A668A7"/>
    <w:rsid w:val="00A66AF3"/>
    <w:rsid w:val="00A66F2A"/>
    <w:rsid w:val="00A678D7"/>
    <w:rsid w:val="00A67CDB"/>
    <w:rsid w:val="00A70250"/>
    <w:rsid w:val="00A705EE"/>
    <w:rsid w:val="00A706E3"/>
    <w:rsid w:val="00A707B2"/>
    <w:rsid w:val="00A70CB5"/>
    <w:rsid w:val="00A70E28"/>
    <w:rsid w:val="00A70F43"/>
    <w:rsid w:val="00A71044"/>
    <w:rsid w:val="00A71361"/>
    <w:rsid w:val="00A71447"/>
    <w:rsid w:val="00A716B5"/>
    <w:rsid w:val="00A716F5"/>
    <w:rsid w:val="00A71B01"/>
    <w:rsid w:val="00A72DD3"/>
    <w:rsid w:val="00A7306E"/>
    <w:rsid w:val="00A73400"/>
    <w:rsid w:val="00A737D7"/>
    <w:rsid w:val="00A73C7C"/>
    <w:rsid w:val="00A73FB9"/>
    <w:rsid w:val="00A7463D"/>
    <w:rsid w:val="00A746DC"/>
    <w:rsid w:val="00A746E2"/>
    <w:rsid w:val="00A75291"/>
    <w:rsid w:val="00A7533D"/>
    <w:rsid w:val="00A75373"/>
    <w:rsid w:val="00A753A7"/>
    <w:rsid w:val="00A754DB"/>
    <w:rsid w:val="00A7570F"/>
    <w:rsid w:val="00A7577B"/>
    <w:rsid w:val="00A75A3C"/>
    <w:rsid w:val="00A75FF3"/>
    <w:rsid w:val="00A76F27"/>
    <w:rsid w:val="00A76FD3"/>
    <w:rsid w:val="00A77234"/>
    <w:rsid w:val="00A772A7"/>
    <w:rsid w:val="00A772F3"/>
    <w:rsid w:val="00A77332"/>
    <w:rsid w:val="00A77345"/>
    <w:rsid w:val="00A77422"/>
    <w:rsid w:val="00A77520"/>
    <w:rsid w:val="00A7754D"/>
    <w:rsid w:val="00A775B1"/>
    <w:rsid w:val="00A80061"/>
    <w:rsid w:val="00A802AA"/>
    <w:rsid w:val="00A8075F"/>
    <w:rsid w:val="00A807AF"/>
    <w:rsid w:val="00A80862"/>
    <w:rsid w:val="00A80A65"/>
    <w:rsid w:val="00A80C64"/>
    <w:rsid w:val="00A80D4E"/>
    <w:rsid w:val="00A80E93"/>
    <w:rsid w:val="00A80F56"/>
    <w:rsid w:val="00A8106D"/>
    <w:rsid w:val="00A810EE"/>
    <w:rsid w:val="00A818BD"/>
    <w:rsid w:val="00A818F5"/>
    <w:rsid w:val="00A81BD5"/>
    <w:rsid w:val="00A81FF2"/>
    <w:rsid w:val="00A821BA"/>
    <w:rsid w:val="00A825AD"/>
    <w:rsid w:val="00A82882"/>
    <w:rsid w:val="00A828B6"/>
    <w:rsid w:val="00A82DC2"/>
    <w:rsid w:val="00A82DDC"/>
    <w:rsid w:val="00A82E95"/>
    <w:rsid w:val="00A82FC0"/>
    <w:rsid w:val="00A83083"/>
    <w:rsid w:val="00A83112"/>
    <w:rsid w:val="00A83153"/>
    <w:rsid w:val="00A8331F"/>
    <w:rsid w:val="00A83371"/>
    <w:rsid w:val="00A83478"/>
    <w:rsid w:val="00A834CF"/>
    <w:rsid w:val="00A83821"/>
    <w:rsid w:val="00A83904"/>
    <w:rsid w:val="00A83D62"/>
    <w:rsid w:val="00A83D65"/>
    <w:rsid w:val="00A83EDE"/>
    <w:rsid w:val="00A83F16"/>
    <w:rsid w:val="00A83FF1"/>
    <w:rsid w:val="00A84616"/>
    <w:rsid w:val="00A84A20"/>
    <w:rsid w:val="00A84FAF"/>
    <w:rsid w:val="00A85A07"/>
    <w:rsid w:val="00A85D8C"/>
    <w:rsid w:val="00A85F6D"/>
    <w:rsid w:val="00A85F74"/>
    <w:rsid w:val="00A860FC"/>
    <w:rsid w:val="00A8662F"/>
    <w:rsid w:val="00A8666D"/>
    <w:rsid w:val="00A86FF3"/>
    <w:rsid w:val="00A87014"/>
    <w:rsid w:val="00A87084"/>
    <w:rsid w:val="00A87775"/>
    <w:rsid w:val="00A87C64"/>
    <w:rsid w:val="00A87F00"/>
    <w:rsid w:val="00A9009B"/>
    <w:rsid w:val="00A9013B"/>
    <w:rsid w:val="00A907AB"/>
    <w:rsid w:val="00A9080C"/>
    <w:rsid w:val="00A90A79"/>
    <w:rsid w:val="00A90DDE"/>
    <w:rsid w:val="00A91054"/>
    <w:rsid w:val="00A9186B"/>
    <w:rsid w:val="00A91CF0"/>
    <w:rsid w:val="00A9227D"/>
    <w:rsid w:val="00A923E3"/>
    <w:rsid w:val="00A92992"/>
    <w:rsid w:val="00A92EE4"/>
    <w:rsid w:val="00A92F2E"/>
    <w:rsid w:val="00A92F8C"/>
    <w:rsid w:val="00A93377"/>
    <w:rsid w:val="00A93833"/>
    <w:rsid w:val="00A938E1"/>
    <w:rsid w:val="00A9391E"/>
    <w:rsid w:val="00A941A7"/>
    <w:rsid w:val="00A945CA"/>
    <w:rsid w:val="00A94729"/>
    <w:rsid w:val="00A9499F"/>
    <w:rsid w:val="00A94A8D"/>
    <w:rsid w:val="00A94E47"/>
    <w:rsid w:val="00A95080"/>
    <w:rsid w:val="00A95115"/>
    <w:rsid w:val="00A955EF"/>
    <w:rsid w:val="00A95E79"/>
    <w:rsid w:val="00A9639F"/>
    <w:rsid w:val="00A964E1"/>
    <w:rsid w:val="00A965F9"/>
    <w:rsid w:val="00A968EC"/>
    <w:rsid w:val="00A96976"/>
    <w:rsid w:val="00A96B30"/>
    <w:rsid w:val="00A96D21"/>
    <w:rsid w:val="00A96EFE"/>
    <w:rsid w:val="00A972C5"/>
    <w:rsid w:val="00A9737C"/>
    <w:rsid w:val="00A977AB"/>
    <w:rsid w:val="00A97940"/>
    <w:rsid w:val="00A979A2"/>
    <w:rsid w:val="00A97C67"/>
    <w:rsid w:val="00A97D90"/>
    <w:rsid w:val="00AA0532"/>
    <w:rsid w:val="00AA29F6"/>
    <w:rsid w:val="00AA2D7E"/>
    <w:rsid w:val="00AA2E19"/>
    <w:rsid w:val="00AA2F27"/>
    <w:rsid w:val="00AA30CB"/>
    <w:rsid w:val="00AA3124"/>
    <w:rsid w:val="00AA333E"/>
    <w:rsid w:val="00AA36EC"/>
    <w:rsid w:val="00AA3893"/>
    <w:rsid w:val="00AA3BFA"/>
    <w:rsid w:val="00AA3D5C"/>
    <w:rsid w:val="00AA400B"/>
    <w:rsid w:val="00AA4297"/>
    <w:rsid w:val="00AA442D"/>
    <w:rsid w:val="00AA4533"/>
    <w:rsid w:val="00AA4635"/>
    <w:rsid w:val="00AA4C2D"/>
    <w:rsid w:val="00AA4C7D"/>
    <w:rsid w:val="00AA5202"/>
    <w:rsid w:val="00AA539E"/>
    <w:rsid w:val="00AA5425"/>
    <w:rsid w:val="00AA59B5"/>
    <w:rsid w:val="00AA5A0B"/>
    <w:rsid w:val="00AA5D22"/>
    <w:rsid w:val="00AA5F4D"/>
    <w:rsid w:val="00AA6797"/>
    <w:rsid w:val="00AA6ABF"/>
    <w:rsid w:val="00AA6D9B"/>
    <w:rsid w:val="00AA72EE"/>
    <w:rsid w:val="00AA73DE"/>
    <w:rsid w:val="00AA75B1"/>
    <w:rsid w:val="00AA7752"/>
    <w:rsid w:val="00AA7777"/>
    <w:rsid w:val="00AA78E5"/>
    <w:rsid w:val="00AA7B84"/>
    <w:rsid w:val="00AA7EB8"/>
    <w:rsid w:val="00AB0426"/>
    <w:rsid w:val="00AB06C1"/>
    <w:rsid w:val="00AB074C"/>
    <w:rsid w:val="00AB0A1C"/>
    <w:rsid w:val="00AB0A9E"/>
    <w:rsid w:val="00AB0CA2"/>
    <w:rsid w:val="00AB0D5B"/>
    <w:rsid w:val="00AB10F3"/>
    <w:rsid w:val="00AB1181"/>
    <w:rsid w:val="00AB11C9"/>
    <w:rsid w:val="00AB15C4"/>
    <w:rsid w:val="00AB1870"/>
    <w:rsid w:val="00AB195D"/>
    <w:rsid w:val="00AB1A44"/>
    <w:rsid w:val="00AB1C8A"/>
    <w:rsid w:val="00AB1CB5"/>
    <w:rsid w:val="00AB20BD"/>
    <w:rsid w:val="00AB2167"/>
    <w:rsid w:val="00AB24E9"/>
    <w:rsid w:val="00AB24F4"/>
    <w:rsid w:val="00AB2651"/>
    <w:rsid w:val="00AB2CDE"/>
    <w:rsid w:val="00AB2FE6"/>
    <w:rsid w:val="00AB3386"/>
    <w:rsid w:val="00AB3435"/>
    <w:rsid w:val="00AB34AE"/>
    <w:rsid w:val="00AB3592"/>
    <w:rsid w:val="00AB3812"/>
    <w:rsid w:val="00AB3993"/>
    <w:rsid w:val="00AB3EA4"/>
    <w:rsid w:val="00AB4334"/>
    <w:rsid w:val="00AB4E1B"/>
    <w:rsid w:val="00AB4F72"/>
    <w:rsid w:val="00AB5A60"/>
    <w:rsid w:val="00AB6512"/>
    <w:rsid w:val="00AB65D1"/>
    <w:rsid w:val="00AB69AF"/>
    <w:rsid w:val="00AB6E5A"/>
    <w:rsid w:val="00AB6FCA"/>
    <w:rsid w:val="00AB7C15"/>
    <w:rsid w:val="00AB7FEF"/>
    <w:rsid w:val="00AC0072"/>
    <w:rsid w:val="00AC00F6"/>
    <w:rsid w:val="00AC0694"/>
    <w:rsid w:val="00AC08AA"/>
    <w:rsid w:val="00AC0AAE"/>
    <w:rsid w:val="00AC0B4C"/>
    <w:rsid w:val="00AC0BDA"/>
    <w:rsid w:val="00AC1164"/>
    <w:rsid w:val="00AC11D9"/>
    <w:rsid w:val="00AC11F9"/>
    <w:rsid w:val="00AC1386"/>
    <w:rsid w:val="00AC1B49"/>
    <w:rsid w:val="00AC1BAF"/>
    <w:rsid w:val="00AC1FDA"/>
    <w:rsid w:val="00AC2296"/>
    <w:rsid w:val="00AC23FA"/>
    <w:rsid w:val="00AC244E"/>
    <w:rsid w:val="00AC2754"/>
    <w:rsid w:val="00AC27AA"/>
    <w:rsid w:val="00AC2A5D"/>
    <w:rsid w:val="00AC2B12"/>
    <w:rsid w:val="00AC2DA3"/>
    <w:rsid w:val="00AC2E46"/>
    <w:rsid w:val="00AC2E6B"/>
    <w:rsid w:val="00AC3383"/>
    <w:rsid w:val="00AC34EF"/>
    <w:rsid w:val="00AC37DE"/>
    <w:rsid w:val="00AC3ADF"/>
    <w:rsid w:val="00AC3D7C"/>
    <w:rsid w:val="00AC3EBA"/>
    <w:rsid w:val="00AC419F"/>
    <w:rsid w:val="00AC48B0"/>
    <w:rsid w:val="00AC4ACD"/>
    <w:rsid w:val="00AC4C05"/>
    <w:rsid w:val="00AC4FD0"/>
    <w:rsid w:val="00AC5380"/>
    <w:rsid w:val="00AC56E5"/>
    <w:rsid w:val="00AC5B78"/>
    <w:rsid w:val="00AC5DFB"/>
    <w:rsid w:val="00AC5EA1"/>
    <w:rsid w:val="00AC60E5"/>
    <w:rsid w:val="00AC6DF9"/>
    <w:rsid w:val="00AC6E88"/>
    <w:rsid w:val="00AC6FA8"/>
    <w:rsid w:val="00AC75DB"/>
    <w:rsid w:val="00AC7614"/>
    <w:rsid w:val="00AC77C4"/>
    <w:rsid w:val="00AC78A8"/>
    <w:rsid w:val="00AC7B99"/>
    <w:rsid w:val="00AC7C65"/>
    <w:rsid w:val="00AC7EAE"/>
    <w:rsid w:val="00AD0841"/>
    <w:rsid w:val="00AD0903"/>
    <w:rsid w:val="00AD090B"/>
    <w:rsid w:val="00AD094E"/>
    <w:rsid w:val="00AD0C8F"/>
    <w:rsid w:val="00AD0F25"/>
    <w:rsid w:val="00AD0FE1"/>
    <w:rsid w:val="00AD1249"/>
    <w:rsid w:val="00AD13DC"/>
    <w:rsid w:val="00AD1BFC"/>
    <w:rsid w:val="00AD1E35"/>
    <w:rsid w:val="00AD1E45"/>
    <w:rsid w:val="00AD203B"/>
    <w:rsid w:val="00AD2071"/>
    <w:rsid w:val="00AD20E8"/>
    <w:rsid w:val="00AD2552"/>
    <w:rsid w:val="00AD27A1"/>
    <w:rsid w:val="00AD2BAA"/>
    <w:rsid w:val="00AD2BF6"/>
    <w:rsid w:val="00AD2EA1"/>
    <w:rsid w:val="00AD3288"/>
    <w:rsid w:val="00AD35A4"/>
    <w:rsid w:val="00AD3615"/>
    <w:rsid w:val="00AD38CD"/>
    <w:rsid w:val="00AD39D0"/>
    <w:rsid w:val="00AD3E58"/>
    <w:rsid w:val="00AD3EB6"/>
    <w:rsid w:val="00AD3FE2"/>
    <w:rsid w:val="00AD4284"/>
    <w:rsid w:val="00AD476E"/>
    <w:rsid w:val="00AD4A62"/>
    <w:rsid w:val="00AD4DFB"/>
    <w:rsid w:val="00AD5263"/>
    <w:rsid w:val="00AD53E9"/>
    <w:rsid w:val="00AD5A0A"/>
    <w:rsid w:val="00AD5A3E"/>
    <w:rsid w:val="00AD5E65"/>
    <w:rsid w:val="00AD5E92"/>
    <w:rsid w:val="00AD61B3"/>
    <w:rsid w:val="00AD622D"/>
    <w:rsid w:val="00AD6DE2"/>
    <w:rsid w:val="00AD6EB3"/>
    <w:rsid w:val="00AD6EFF"/>
    <w:rsid w:val="00AD70B3"/>
    <w:rsid w:val="00AD721F"/>
    <w:rsid w:val="00AD7C2F"/>
    <w:rsid w:val="00AD7D9A"/>
    <w:rsid w:val="00AD7DF7"/>
    <w:rsid w:val="00AE0056"/>
    <w:rsid w:val="00AE0549"/>
    <w:rsid w:val="00AE0A40"/>
    <w:rsid w:val="00AE0D61"/>
    <w:rsid w:val="00AE1561"/>
    <w:rsid w:val="00AE17EC"/>
    <w:rsid w:val="00AE193D"/>
    <w:rsid w:val="00AE1A8B"/>
    <w:rsid w:val="00AE1DA2"/>
    <w:rsid w:val="00AE1ED4"/>
    <w:rsid w:val="00AE21E1"/>
    <w:rsid w:val="00AE2514"/>
    <w:rsid w:val="00AE2792"/>
    <w:rsid w:val="00AE2ACE"/>
    <w:rsid w:val="00AE2E23"/>
    <w:rsid w:val="00AE2F8D"/>
    <w:rsid w:val="00AE3189"/>
    <w:rsid w:val="00AE3213"/>
    <w:rsid w:val="00AE328F"/>
    <w:rsid w:val="00AE37D3"/>
    <w:rsid w:val="00AE382A"/>
    <w:rsid w:val="00AE3BAE"/>
    <w:rsid w:val="00AE407D"/>
    <w:rsid w:val="00AE4576"/>
    <w:rsid w:val="00AE457E"/>
    <w:rsid w:val="00AE4D65"/>
    <w:rsid w:val="00AE5041"/>
    <w:rsid w:val="00AE54D0"/>
    <w:rsid w:val="00AE55BE"/>
    <w:rsid w:val="00AE56B5"/>
    <w:rsid w:val="00AE61E5"/>
    <w:rsid w:val="00AE630C"/>
    <w:rsid w:val="00AE645B"/>
    <w:rsid w:val="00AE6519"/>
    <w:rsid w:val="00AE6600"/>
    <w:rsid w:val="00AE692A"/>
    <w:rsid w:val="00AE6A21"/>
    <w:rsid w:val="00AE70A0"/>
    <w:rsid w:val="00AE7117"/>
    <w:rsid w:val="00AE729C"/>
    <w:rsid w:val="00AE7560"/>
    <w:rsid w:val="00AE75AE"/>
    <w:rsid w:val="00AE77D7"/>
    <w:rsid w:val="00AE7C8B"/>
    <w:rsid w:val="00AE7DE4"/>
    <w:rsid w:val="00AF0039"/>
    <w:rsid w:val="00AF0480"/>
    <w:rsid w:val="00AF0594"/>
    <w:rsid w:val="00AF07ED"/>
    <w:rsid w:val="00AF099A"/>
    <w:rsid w:val="00AF1440"/>
    <w:rsid w:val="00AF156C"/>
    <w:rsid w:val="00AF15F7"/>
    <w:rsid w:val="00AF179C"/>
    <w:rsid w:val="00AF17BC"/>
    <w:rsid w:val="00AF183A"/>
    <w:rsid w:val="00AF1C8F"/>
    <w:rsid w:val="00AF1CB8"/>
    <w:rsid w:val="00AF1FFF"/>
    <w:rsid w:val="00AF244B"/>
    <w:rsid w:val="00AF2B68"/>
    <w:rsid w:val="00AF2C92"/>
    <w:rsid w:val="00AF31C0"/>
    <w:rsid w:val="00AF33BD"/>
    <w:rsid w:val="00AF348E"/>
    <w:rsid w:val="00AF368E"/>
    <w:rsid w:val="00AF36FC"/>
    <w:rsid w:val="00AF3834"/>
    <w:rsid w:val="00AF383A"/>
    <w:rsid w:val="00AF3C66"/>
    <w:rsid w:val="00AF3EC1"/>
    <w:rsid w:val="00AF4130"/>
    <w:rsid w:val="00AF4157"/>
    <w:rsid w:val="00AF4192"/>
    <w:rsid w:val="00AF41DC"/>
    <w:rsid w:val="00AF427A"/>
    <w:rsid w:val="00AF445F"/>
    <w:rsid w:val="00AF4755"/>
    <w:rsid w:val="00AF47DD"/>
    <w:rsid w:val="00AF48EF"/>
    <w:rsid w:val="00AF49E7"/>
    <w:rsid w:val="00AF4B6E"/>
    <w:rsid w:val="00AF4DD5"/>
    <w:rsid w:val="00AF5025"/>
    <w:rsid w:val="00AF519F"/>
    <w:rsid w:val="00AF5291"/>
    <w:rsid w:val="00AF5387"/>
    <w:rsid w:val="00AF53A8"/>
    <w:rsid w:val="00AF55F5"/>
    <w:rsid w:val="00AF57EE"/>
    <w:rsid w:val="00AF5868"/>
    <w:rsid w:val="00AF5A4D"/>
    <w:rsid w:val="00AF5CFC"/>
    <w:rsid w:val="00AF5EA4"/>
    <w:rsid w:val="00AF6005"/>
    <w:rsid w:val="00AF6270"/>
    <w:rsid w:val="00AF6E7D"/>
    <w:rsid w:val="00AF6F5E"/>
    <w:rsid w:val="00AF74AA"/>
    <w:rsid w:val="00AF74BA"/>
    <w:rsid w:val="00AF7843"/>
    <w:rsid w:val="00AF7B1B"/>
    <w:rsid w:val="00AF7E86"/>
    <w:rsid w:val="00B00055"/>
    <w:rsid w:val="00B0009C"/>
    <w:rsid w:val="00B00689"/>
    <w:rsid w:val="00B009C0"/>
    <w:rsid w:val="00B00AB7"/>
    <w:rsid w:val="00B01021"/>
    <w:rsid w:val="00B010B7"/>
    <w:rsid w:val="00B01107"/>
    <w:rsid w:val="00B0134B"/>
    <w:rsid w:val="00B0181E"/>
    <w:rsid w:val="00B01DDD"/>
    <w:rsid w:val="00B0200F"/>
    <w:rsid w:val="00B02430"/>
    <w:rsid w:val="00B024B9"/>
    <w:rsid w:val="00B02D7B"/>
    <w:rsid w:val="00B02F5E"/>
    <w:rsid w:val="00B0332D"/>
    <w:rsid w:val="00B0338D"/>
    <w:rsid w:val="00B034C0"/>
    <w:rsid w:val="00B035E1"/>
    <w:rsid w:val="00B035EA"/>
    <w:rsid w:val="00B0374B"/>
    <w:rsid w:val="00B037C9"/>
    <w:rsid w:val="00B03939"/>
    <w:rsid w:val="00B03A6C"/>
    <w:rsid w:val="00B04019"/>
    <w:rsid w:val="00B04121"/>
    <w:rsid w:val="00B04380"/>
    <w:rsid w:val="00B04397"/>
    <w:rsid w:val="00B04662"/>
    <w:rsid w:val="00B05567"/>
    <w:rsid w:val="00B05A51"/>
    <w:rsid w:val="00B05C51"/>
    <w:rsid w:val="00B05EAB"/>
    <w:rsid w:val="00B06567"/>
    <w:rsid w:val="00B06C32"/>
    <w:rsid w:val="00B06D4D"/>
    <w:rsid w:val="00B07215"/>
    <w:rsid w:val="00B07583"/>
    <w:rsid w:val="00B077FA"/>
    <w:rsid w:val="00B078D1"/>
    <w:rsid w:val="00B078D5"/>
    <w:rsid w:val="00B07E97"/>
    <w:rsid w:val="00B07EDD"/>
    <w:rsid w:val="00B10716"/>
    <w:rsid w:val="00B108C5"/>
    <w:rsid w:val="00B10A23"/>
    <w:rsid w:val="00B116F7"/>
    <w:rsid w:val="00B11B91"/>
    <w:rsid w:val="00B124D8"/>
    <w:rsid w:val="00B127D7"/>
    <w:rsid w:val="00B12BB6"/>
    <w:rsid w:val="00B12BFB"/>
    <w:rsid w:val="00B12D8E"/>
    <w:rsid w:val="00B12DD7"/>
    <w:rsid w:val="00B13018"/>
    <w:rsid w:val="00B130F9"/>
    <w:rsid w:val="00B131F9"/>
    <w:rsid w:val="00B13330"/>
    <w:rsid w:val="00B13569"/>
    <w:rsid w:val="00B135DD"/>
    <w:rsid w:val="00B13785"/>
    <w:rsid w:val="00B13B0C"/>
    <w:rsid w:val="00B13F9D"/>
    <w:rsid w:val="00B14212"/>
    <w:rsid w:val="00B142AF"/>
    <w:rsid w:val="00B143C4"/>
    <w:rsid w:val="00B14408"/>
    <w:rsid w:val="00B1453A"/>
    <w:rsid w:val="00B14733"/>
    <w:rsid w:val="00B14F1D"/>
    <w:rsid w:val="00B15091"/>
    <w:rsid w:val="00B15524"/>
    <w:rsid w:val="00B15590"/>
    <w:rsid w:val="00B15A8C"/>
    <w:rsid w:val="00B15AD3"/>
    <w:rsid w:val="00B15E32"/>
    <w:rsid w:val="00B16E39"/>
    <w:rsid w:val="00B17181"/>
    <w:rsid w:val="00B1754B"/>
    <w:rsid w:val="00B17837"/>
    <w:rsid w:val="00B179D6"/>
    <w:rsid w:val="00B17C16"/>
    <w:rsid w:val="00B17D92"/>
    <w:rsid w:val="00B17EBC"/>
    <w:rsid w:val="00B17ED4"/>
    <w:rsid w:val="00B17FA3"/>
    <w:rsid w:val="00B20614"/>
    <w:rsid w:val="00B20F82"/>
    <w:rsid w:val="00B2155E"/>
    <w:rsid w:val="00B21906"/>
    <w:rsid w:val="00B21D3A"/>
    <w:rsid w:val="00B221DA"/>
    <w:rsid w:val="00B2259A"/>
    <w:rsid w:val="00B225F7"/>
    <w:rsid w:val="00B228F9"/>
    <w:rsid w:val="00B22F6A"/>
    <w:rsid w:val="00B23052"/>
    <w:rsid w:val="00B23097"/>
    <w:rsid w:val="00B23116"/>
    <w:rsid w:val="00B231EA"/>
    <w:rsid w:val="00B2334D"/>
    <w:rsid w:val="00B23490"/>
    <w:rsid w:val="00B235DD"/>
    <w:rsid w:val="00B23696"/>
    <w:rsid w:val="00B239D4"/>
    <w:rsid w:val="00B239E0"/>
    <w:rsid w:val="00B239EE"/>
    <w:rsid w:val="00B24423"/>
    <w:rsid w:val="00B24439"/>
    <w:rsid w:val="00B24503"/>
    <w:rsid w:val="00B247A9"/>
    <w:rsid w:val="00B252F2"/>
    <w:rsid w:val="00B25888"/>
    <w:rsid w:val="00B25A2F"/>
    <w:rsid w:val="00B25BD5"/>
    <w:rsid w:val="00B25E64"/>
    <w:rsid w:val="00B260EA"/>
    <w:rsid w:val="00B2624A"/>
    <w:rsid w:val="00B2626B"/>
    <w:rsid w:val="00B264FE"/>
    <w:rsid w:val="00B26776"/>
    <w:rsid w:val="00B2683A"/>
    <w:rsid w:val="00B26A29"/>
    <w:rsid w:val="00B274B3"/>
    <w:rsid w:val="00B27B15"/>
    <w:rsid w:val="00B304A2"/>
    <w:rsid w:val="00B3051A"/>
    <w:rsid w:val="00B30E01"/>
    <w:rsid w:val="00B31171"/>
    <w:rsid w:val="00B31451"/>
    <w:rsid w:val="00B3147B"/>
    <w:rsid w:val="00B314AF"/>
    <w:rsid w:val="00B31620"/>
    <w:rsid w:val="00B31EBA"/>
    <w:rsid w:val="00B31F42"/>
    <w:rsid w:val="00B32701"/>
    <w:rsid w:val="00B32983"/>
    <w:rsid w:val="00B32B54"/>
    <w:rsid w:val="00B32B95"/>
    <w:rsid w:val="00B32EF9"/>
    <w:rsid w:val="00B32F65"/>
    <w:rsid w:val="00B33079"/>
    <w:rsid w:val="00B335CC"/>
    <w:rsid w:val="00B3394D"/>
    <w:rsid w:val="00B339F3"/>
    <w:rsid w:val="00B33BF9"/>
    <w:rsid w:val="00B33CFB"/>
    <w:rsid w:val="00B34079"/>
    <w:rsid w:val="00B3461B"/>
    <w:rsid w:val="00B3497E"/>
    <w:rsid w:val="00B34FDA"/>
    <w:rsid w:val="00B351DD"/>
    <w:rsid w:val="00B3552C"/>
    <w:rsid w:val="00B35C54"/>
    <w:rsid w:val="00B35D67"/>
    <w:rsid w:val="00B35D7C"/>
    <w:rsid w:val="00B36816"/>
    <w:rsid w:val="00B3689C"/>
    <w:rsid w:val="00B370C1"/>
    <w:rsid w:val="00B37128"/>
    <w:rsid w:val="00B3726D"/>
    <w:rsid w:val="00B377F3"/>
    <w:rsid w:val="00B37932"/>
    <w:rsid w:val="00B3793A"/>
    <w:rsid w:val="00B37A06"/>
    <w:rsid w:val="00B37C3A"/>
    <w:rsid w:val="00B4014F"/>
    <w:rsid w:val="00B401BA"/>
    <w:rsid w:val="00B4079D"/>
    <w:rsid w:val="00B407A1"/>
    <w:rsid w:val="00B407E4"/>
    <w:rsid w:val="00B40A08"/>
    <w:rsid w:val="00B40DF5"/>
    <w:rsid w:val="00B41149"/>
    <w:rsid w:val="00B411CC"/>
    <w:rsid w:val="00B41586"/>
    <w:rsid w:val="00B4163A"/>
    <w:rsid w:val="00B41950"/>
    <w:rsid w:val="00B41BE5"/>
    <w:rsid w:val="00B41C0C"/>
    <w:rsid w:val="00B42136"/>
    <w:rsid w:val="00B42146"/>
    <w:rsid w:val="00B42176"/>
    <w:rsid w:val="00B422E3"/>
    <w:rsid w:val="00B42359"/>
    <w:rsid w:val="00B425B6"/>
    <w:rsid w:val="00B42728"/>
    <w:rsid w:val="00B427D7"/>
    <w:rsid w:val="00B428E5"/>
    <w:rsid w:val="00B42A72"/>
    <w:rsid w:val="00B42F10"/>
    <w:rsid w:val="00B42FFA"/>
    <w:rsid w:val="00B4303B"/>
    <w:rsid w:val="00B4312F"/>
    <w:rsid w:val="00B43552"/>
    <w:rsid w:val="00B435CD"/>
    <w:rsid w:val="00B438A9"/>
    <w:rsid w:val="00B439E5"/>
    <w:rsid w:val="00B441AE"/>
    <w:rsid w:val="00B445A1"/>
    <w:rsid w:val="00B447DC"/>
    <w:rsid w:val="00B4499F"/>
    <w:rsid w:val="00B44AFB"/>
    <w:rsid w:val="00B44C41"/>
    <w:rsid w:val="00B44FE4"/>
    <w:rsid w:val="00B4535C"/>
    <w:rsid w:val="00B4538B"/>
    <w:rsid w:val="00B4538E"/>
    <w:rsid w:val="00B459D5"/>
    <w:rsid w:val="00B459F2"/>
    <w:rsid w:val="00B45A65"/>
    <w:rsid w:val="00B45BA2"/>
    <w:rsid w:val="00B45DA1"/>
    <w:rsid w:val="00B45EB3"/>
    <w:rsid w:val="00B45F33"/>
    <w:rsid w:val="00B4649F"/>
    <w:rsid w:val="00B464F5"/>
    <w:rsid w:val="00B4653A"/>
    <w:rsid w:val="00B46662"/>
    <w:rsid w:val="00B46771"/>
    <w:rsid w:val="00B46846"/>
    <w:rsid w:val="00B46876"/>
    <w:rsid w:val="00B46D50"/>
    <w:rsid w:val="00B46DA6"/>
    <w:rsid w:val="00B46E93"/>
    <w:rsid w:val="00B47328"/>
    <w:rsid w:val="00B475F5"/>
    <w:rsid w:val="00B478A7"/>
    <w:rsid w:val="00B47A35"/>
    <w:rsid w:val="00B47E0A"/>
    <w:rsid w:val="00B47EC7"/>
    <w:rsid w:val="00B50807"/>
    <w:rsid w:val="00B50909"/>
    <w:rsid w:val="00B509C8"/>
    <w:rsid w:val="00B514A9"/>
    <w:rsid w:val="00B51A31"/>
    <w:rsid w:val="00B5216F"/>
    <w:rsid w:val="00B5222E"/>
    <w:rsid w:val="00B52512"/>
    <w:rsid w:val="00B52857"/>
    <w:rsid w:val="00B52B79"/>
    <w:rsid w:val="00B52CBD"/>
    <w:rsid w:val="00B52D30"/>
    <w:rsid w:val="00B52D41"/>
    <w:rsid w:val="00B52D9E"/>
    <w:rsid w:val="00B52F86"/>
    <w:rsid w:val="00B53170"/>
    <w:rsid w:val="00B5318A"/>
    <w:rsid w:val="00B5346E"/>
    <w:rsid w:val="00B53523"/>
    <w:rsid w:val="00B535EC"/>
    <w:rsid w:val="00B53718"/>
    <w:rsid w:val="00B53867"/>
    <w:rsid w:val="00B538F3"/>
    <w:rsid w:val="00B53ABE"/>
    <w:rsid w:val="00B53AF0"/>
    <w:rsid w:val="00B548B9"/>
    <w:rsid w:val="00B5493F"/>
    <w:rsid w:val="00B54D2A"/>
    <w:rsid w:val="00B54D59"/>
    <w:rsid w:val="00B54F00"/>
    <w:rsid w:val="00B5501D"/>
    <w:rsid w:val="00B55102"/>
    <w:rsid w:val="00B5540B"/>
    <w:rsid w:val="00B55641"/>
    <w:rsid w:val="00B5595F"/>
    <w:rsid w:val="00B55B1F"/>
    <w:rsid w:val="00B55B92"/>
    <w:rsid w:val="00B55DC2"/>
    <w:rsid w:val="00B55F3D"/>
    <w:rsid w:val="00B55F81"/>
    <w:rsid w:val="00B5660D"/>
    <w:rsid w:val="00B567BF"/>
    <w:rsid w:val="00B568E6"/>
    <w:rsid w:val="00B56BD4"/>
    <w:rsid w:val="00B56C58"/>
    <w:rsid w:val="00B56DBE"/>
    <w:rsid w:val="00B56EE7"/>
    <w:rsid w:val="00B5705E"/>
    <w:rsid w:val="00B57375"/>
    <w:rsid w:val="00B576DA"/>
    <w:rsid w:val="00B576F0"/>
    <w:rsid w:val="00B57EFB"/>
    <w:rsid w:val="00B60654"/>
    <w:rsid w:val="00B6077D"/>
    <w:rsid w:val="00B6089B"/>
    <w:rsid w:val="00B609EC"/>
    <w:rsid w:val="00B60A13"/>
    <w:rsid w:val="00B60FF5"/>
    <w:rsid w:val="00B61232"/>
    <w:rsid w:val="00B613D2"/>
    <w:rsid w:val="00B61658"/>
    <w:rsid w:val="00B619B6"/>
    <w:rsid w:val="00B62206"/>
    <w:rsid w:val="00B62496"/>
    <w:rsid w:val="00B62589"/>
    <w:rsid w:val="00B62881"/>
    <w:rsid w:val="00B62999"/>
    <w:rsid w:val="00B62A74"/>
    <w:rsid w:val="00B62AE7"/>
    <w:rsid w:val="00B62C2F"/>
    <w:rsid w:val="00B62EA9"/>
    <w:rsid w:val="00B63001"/>
    <w:rsid w:val="00B630A0"/>
    <w:rsid w:val="00B6333E"/>
    <w:rsid w:val="00B6376D"/>
    <w:rsid w:val="00B6381D"/>
    <w:rsid w:val="00B63962"/>
    <w:rsid w:val="00B63BAB"/>
    <w:rsid w:val="00B63BE3"/>
    <w:rsid w:val="00B63FD0"/>
    <w:rsid w:val="00B63FF7"/>
    <w:rsid w:val="00B6409E"/>
    <w:rsid w:val="00B64132"/>
    <w:rsid w:val="00B641E9"/>
    <w:rsid w:val="00B647A3"/>
    <w:rsid w:val="00B64885"/>
    <w:rsid w:val="00B64C57"/>
    <w:rsid w:val="00B64FA3"/>
    <w:rsid w:val="00B650BB"/>
    <w:rsid w:val="00B65B97"/>
    <w:rsid w:val="00B65CF0"/>
    <w:rsid w:val="00B65E34"/>
    <w:rsid w:val="00B65EEC"/>
    <w:rsid w:val="00B65EEE"/>
    <w:rsid w:val="00B661C8"/>
    <w:rsid w:val="00B665A4"/>
    <w:rsid w:val="00B66729"/>
    <w:rsid w:val="00B66810"/>
    <w:rsid w:val="00B66880"/>
    <w:rsid w:val="00B66A2A"/>
    <w:rsid w:val="00B66C6C"/>
    <w:rsid w:val="00B66CF6"/>
    <w:rsid w:val="00B66E19"/>
    <w:rsid w:val="00B67062"/>
    <w:rsid w:val="00B674B7"/>
    <w:rsid w:val="00B6769C"/>
    <w:rsid w:val="00B67776"/>
    <w:rsid w:val="00B67AA1"/>
    <w:rsid w:val="00B67B90"/>
    <w:rsid w:val="00B67C06"/>
    <w:rsid w:val="00B67E23"/>
    <w:rsid w:val="00B700C1"/>
    <w:rsid w:val="00B7092A"/>
    <w:rsid w:val="00B70933"/>
    <w:rsid w:val="00B70B0B"/>
    <w:rsid w:val="00B70E35"/>
    <w:rsid w:val="00B70F71"/>
    <w:rsid w:val="00B71340"/>
    <w:rsid w:val="00B71816"/>
    <w:rsid w:val="00B718A6"/>
    <w:rsid w:val="00B71D33"/>
    <w:rsid w:val="00B71F66"/>
    <w:rsid w:val="00B7224E"/>
    <w:rsid w:val="00B727EB"/>
    <w:rsid w:val="00B7293D"/>
    <w:rsid w:val="00B72B3F"/>
    <w:rsid w:val="00B72B98"/>
    <w:rsid w:val="00B72BE3"/>
    <w:rsid w:val="00B72D41"/>
    <w:rsid w:val="00B7318A"/>
    <w:rsid w:val="00B735BE"/>
    <w:rsid w:val="00B738E2"/>
    <w:rsid w:val="00B73A7F"/>
    <w:rsid w:val="00B73B80"/>
    <w:rsid w:val="00B73CF4"/>
    <w:rsid w:val="00B73CF7"/>
    <w:rsid w:val="00B73D43"/>
    <w:rsid w:val="00B7418D"/>
    <w:rsid w:val="00B743C2"/>
    <w:rsid w:val="00B744E4"/>
    <w:rsid w:val="00B74EB4"/>
    <w:rsid w:val="00B75836"/>
    <w:rsid w:val="00B758C1"/>
    <w:rsid w:val="00B75C35"/>
    <w:rsid w:val="00B75E3B"/>
    <w:rsid w:val="00B76675"/>
    <w:rsid w:val="00B76960"/>
    <w:rsid w:val="00B76977"/>
    <w:rsid w:val="00B76980"/>
    <w:rsid w:val="00B76B89"/>
    <w:rsid w:val="00B76F8D"/>
    <w:rsid w:val="00B76FA3"/>
    <w:rsid w:val="00B770C7"/>
    <w:rsid w:val="00B77267"/>
    <w:rsid w:val="00B7748C"/>
    <w:rsid w:val="00B774B4"/>
    <w:rsid w:val="00B779A9"/>
    <w:rsid w:val="00B77B1C"/>
    <w:rsid w:val="00B80134"/>
    <w:rsid w:val="00B80416"/>
    <w:rsid w:val="00B8042B"/>
    <w:rsid w:val="00B80582"/>
    <w:rsid w:val="00B807EA"/>
    <w:rsid w:val="00B80CA7"/>
    <w:rsid w:val="00B80DD5"/>
    <w:rsid w:val="00B80EE0"/>
    <w:rsid w:val="00B80F26"/>
    <w:rsid w:val="00B813BE"/>
    <w:rsid w:val="00B813D0"/>
    <w:rsid w:val="00B816A3"/>
    <w:rsid w:val="00B81ACE"/>
    <w:rsid w:val="00B82074"/>
    <w:rsid w:val="00B822BD"/>
    <w:rsid w:val="00B82810"/>
    <w:rsid w:val="00B8298F"/>
    <w:rsid w:val="00B82A7A"/>
    <w:rsid w:val="00B82A8D"/>
    <w:rsid w:val="00B82BFD"/>
    <w:rsid w:val="00B831BE"/>
    <w:rsid w:val="00B83A58"/>
    <w:rsid w:val="00B83BBD"/>
    <w:rsid w:val="00B83E66"/>
    <w:rsid w:val="00B840D3"/>
    <w:rsid w:val="00B842F4"/>
    <w:rsid w:val="00B84C4F"/>
    <w:rsid w:val="00B84CE7"/>
    <w:rsid w:val="00B84F63"/>
    <w:rsid w:val="00B850AA"/>
    <w:rsid w:val="00B85666"/>
    <w:rsid w:val="00B859BE"/>
    <w:rsid w:val="00B85D15"/>
    <w:rsid w:val="00B85FCB"/>
    <w:rsid w:val="00B863B4"/>
    <w:rsid w:val="00B8649C"/>
    <w:rsid w:val="00B864E9"/>
    <w:rsid w:val="00B86B8A"/>
    <w:rsid w:val="00B877E7"/>
    <w:rsid w:val="00B87E15"/>
    <w:rsid w:val="00B87E7B"/>
    <w:rsid w:val="00B87FCB"/>
    <w:rsid w:val="00B900FD"/>
    <w:rsid w:val="00B9032E"/>
    <w:rsid w:val="00B90586"/>
    <w:rsid w:val="00B905BE"/>
    <w:rsid w:val="00B90610"/>
    <w:rsid w:val="00B90FCC"/>
    <w:rsid w:val="00B91301"/>
    <w:rsid w:val="00B91A30"/>
    <w:rsid w:val="00B91A7B"/>
    <w:rsid w:val="00B92003"/>
    <w:rsid w:val="00B92027"/>
    <w:rsid w:val="00B927CC"/>
    <w:rsid w:val="00B92911"/>
    <w:rsid w:val="00B929A3"/>
    <w:rsid w:val="00B929DD"/>
    <w:rsid w:val="00B92B1B"/>
    <w:rsid w:val="00B9301C"/>
    <w:rsid w:val="00B93347"/>
    <w:rsid w:val="00B935CA"/>
    <w:rsid w:val="00B93648"/>
    <w:rsid w:val="00B9389C"/>
    <w:rsid w:val="00B93986"/>
    <w:rsid w:val="00B93AF6"/>
    <w:rsid w:val="00B9461E"/>
    <w:rsid w:val="00B947AE"/>
    <w:rsid w:val="00B94A96"/>
    <w:rsid w:val="00B94B39"/>
    <w:rsid w:val="00B94BDE"/>
    <w:rsid w:val="00B94D89"/>
    <w:rsid w:val="00B94F2F"/>
    <w:rsid w:val="00B953CE"/>
    <w:rsid w:val="00B95405"/>
    <w:rsid w:val="00B954BC"/>
    <w:rsid w:val="00B95954"/>
    <w:rsid w:val="00B959FC"/>
    <w:rsid w:val="00B95A54"/>
    <w:rsid w:val="00B95D2D"/>
    <w:rsid w:val="00B95DA6"/>
    <w:rsid w:val="00B95DEF"/>
    <w:rsid w:val="00B96110"/>
    <w:rsid w:val="00B961FF"/>
    <w:rsid w:val="00B963BC"/>
    <w:rsid w:val="00B963F1"/>
    <w:rsid w:val="00B96FC6"/>
    <w:rsid w:val="00B97113"/>
    <w:rsid w:val="00B97515"/>
    <w:rsid w:val="00B975E6"/>
    <w:rsid w:val="00B976A6"/>
    <w:rsid w:val="00B97A08"/>
    <w:rsid w:val="00BA020A"/>
    <w:rsid w:val="00BA032B"/>
    <w:rsid w:val="00BA045D"/>
    <w:rsid w:val="00BA075F"/>
    <w:rsid w:val="00BA07D5"/>
    <w:rsid w:val="00BA098D"/>
    <w:rsid w:val="00BA0BEF"/>
    <w:rsid w:val="00BA0CEB"/>
    <w:rsid w:val="00BA11F6"/>
    <w:rsid w:val="00BA155F"/>
    <w:rsid w:val="00BA1727"/>
    <w:rsid w:val="00BA1CE8"/>
    <w:rsid w:val="00BA1D0D"/>
    <w:rsid w:val="00BA1D33"/>
    <w:rsid w:val="00BA1DE3"/>
    <w:rsid w:val="00BA1FBD"/>
    <w:rsid w:val="00BA2215"/>
    <w:rsid w:val="00BA228C"/>
    <w:rsid w:val="00BA2304"/>
    <w:rsid w:val="00BA23B9"/>
    <w:rsid w:val="00BA2425"/>
    <w:rsid w:val="00BA2429"/>
    <w:rsid w:val="00BA2449"/>
    <w:rsid w:val="00BA26DB"/>
    <w:rsid w:val="00BA2761"/>
    <w:rsid w:val="00BA2BA7"/>
    <w:rsid w:val="00BA2FB3"/>
    <w:rsid w:val="00BA30AE"/>
    <w:rsid w:val="00BA3348"/>
    <w:rsid w:val="00BA3427"/>
    <w:rsid w:val="00BA3501"/>
    <w:rsid w:val="00BA3864"/>
    <w:rsid w:val="00BA3C45"/>
    <w:rsid w:val="00BA3FB3"/>
    <w:rsid w:val="00BA41A1"/>
    <w:rsid w:val="00BA4F9D"/>
    <w:rsid w:val="00BA5114"/>
    <w:rsid w:val="00BA519B"/>
    <w:rsid w:val="00BA5608"/>
    <w:rsid w:val="00BA5ED2"/>
    <w:rsid w:val="00BA604D"/>
    <w:rsid w:val="00BA64DC"/>
    <w:rsid w:val="00BA663D"/>
    <w:rsid w:val="00BA6DBF"/>
    <w:rsid w:val="00BA718E"/>
    <w:rsid w:val="00BA72C8"/>
    <w:rsid w:val="00BA73D9"/>
    <w:rsid w:val="00BA74E9"/>
    <w:rsid w:val="00BA7B52"/>
    <w:rsid w:val="00BA7F61"/>
    <w:rsid w:val="00BB019B"/>
    <w:rsid w:val="00BB025A"/>
    <w:rsid w:val="00BB0290"/>
    <w:rsid w:val="00BB02A4"/>
    <w:rsid w:val="00BB03FB"/>
    <w:rsid w:val="00BB091E"/>
    <w:rsid w:val="00BB0FD3"/>
    <w:rsid w:val="00BB0FFF"/>
    <w:rsid w:val="00BB10E6"/>
    <w:rsid w:val="00BB1270"/>
    <w:rsid w:val="00BB150B"/>
    <w:rsid w:val="00BB17E4"/>
    <w:rsid w:val="00BB1C5A"/>
    <w:rsid w:val="00BB1E44"/>
    <w:rsid w:val="00BB2007"/>
    <w:rsid w:val="00BB29A4"/>
    <w:rsid w:val="00BB2AE3"/>
    <w:rsid w:val="00BB2B41"/>
    <w:rsid w:val="00BB2CEA"/>
    <w:rsid w:val="00BB2EE3"/>
    <w:rsid w:val="00BB3351"/>
    <w:rsid w:val="00BB338F"/>
    <w:rsid w:val="00BB34C0"/>
    <w:rsid w:val="00BB38F7"/>
    <w:rsid w:val="00BB39A0"/>
    <w:rsid w:val="00BB3B31"/>
    <w:rsid w:val="00BB45A3"/>
    <w:rsid w:val="00BB4869"/>
    <w:rsid w:val="00BB4EB9"/>
    <w:rsid w:val="00BB5069"/>
    <w:rsid w:val="00BB50F0"/>
    <w:rsid w:val="00BB5267"/>
    <w:rsid w:val="00BB52B8"/>
    <w:rsid w:val="00BB5300"/>
    <w:rsid w:val="00BB5705"/>
    <w:rsid w:val="00BB59D8"/>
    <w:rsid w:val="00BB5FC7"/>
    <w:rsid w:val="00BB61B8"/>
    <w:rsid w:val="00BB6758"/>
    <w:rsid w:val="00BB6922"/>
    <w:rsid w:val="00BB6A76"/>
    <w:rsid w:val="00BB6AB9"/>
    <w:rsid w:val="00BB6C2A"/>
    <w:rsid w:val="00BB6C7A"/>
    <w:rsid w:val="00BB72C0"/>
    <w:rsid w:val="00BB7436"/>
    <w:rsid w:val="00BB7469"/>
    <w:rsid w:val="00BB79C2"/>
    <w:rsid w:val="00BB7A34"/>
    <w:rsid w:val="00BB7ABE"/>
    <w:rsid w:val="00BB7BD6"/>
    <w:rsid w:val="00BB7E69"/>
    <w:rsid w:val="00BC0115"/>
    <w:rsid w:val="00BC01E8"/>
    <w:rsid w:val="00BC043D"/>
    <w:rsid w:val="00BC08DB"/>
    <w:rsid w:val="00BC0A23"/>
    <w:rsid w:val="00BC0D1B"/>
    <w:rsid w:val="00BC0E51"/>
    <w:rsid w:val="00BC1407"/>
    <w:rsid w:val="00BC1B71"/>
    <w:rsid w:val="00BC1E8B"/>
    <w:rsid w:val="00BC1F30"/>
    <w:rsid w:val="00BC1F98"/>
    <w:rsid w:val="00BC227C"/>
    <w:rsid w:val="00BC2340"/>
    <w:rsid w:val="00BC2681"/>
    <w:rsid w:val="00BC2B25"/>
    <w:rsid w:val="00BC2EC4"/>
    <w:rsid w:val="00BC3058"/>
    <w:rsid w:val="00BC3300"/>
    <w:rsid w:val="00BC3390"/>
    <w:rsid w:val="00BC365C"/>
    <w:rsid w:val="00BC3707"/>
    <w:rsid w:val="00BC3A00"/>
    <w:rsid w:val="00BC3AEB"/>
    <w:rsid w:val="00BC3C1F"/>
    <w:rsid w:val="00BC3D9A"/>
    <w:rsid w:val="00BC402A"/>
    <w:rsid w:val="00BC436B"/>
    <w:rsid w:val="00BC44BC"/>
    <w:rsid w:val="00BC4C74"/>
    <w:rsid w:val="00BC4CCC"/>
    <w:rsid w:val="00BC5AB9"/>
    <w:rsid w:val="00BC5CFD"/>
    <w:rsid w:val="00BC5E50"/>
    <w:rsid w:val="00BC5E88"/>
    <w:rsid w:val="00BC608D"/>
    <w:rsid w:val="00BC63E9"/>
    <w:rsid w:val="00BC6532"/>
    <w:rsid w:val="00BC6666"/>
    <w:rsid w:val="00BC7168"/>
    <w:rsid w:val="00BC71D0"/>
    <w:rsid w:val="00BC7386"/>
    <w:rsid w:val="00BC745F"/>
    <w:rsid w:val="00BC7554"/>
    <w:rsid w:val="00BC75A0"/>
    <w:rsid w:val="00BC77BD"/>
    <w:rsid w:val="00BC78B4"/>
    <w:rsid w:val="00BC7CE7"/>
    <w:rsid w:val="00BD09CF"/>
    <w:rsid w:val="00BD09F9"/>
    <w:rsid w:val="00BD0C35"/>
    <w:rsid w:val="00BD1422"/>
    <w:rsid w:val="00BD1780"/>
    <w:rsid w:val="00BD188C"/>
    <w:rsid w:val="00BD1989"/>
    <w:rsid w:val="00BD1C89"/>
    <w:rsid w:val="00BD1CAB"/>
    <w:rsid w:val="00BD2222"/>
    <w:rsid w:val="00BD249F"/>
    <w:rsid w:val="00BD251F"/>
    <w:rsid w:val="00BD27C2"/>
    <w:rsid w:val="00BD295E"/>
    <w:rsid w:val="00BD2AC3"/>
    <w:rsid w:val="00BD2BA5"/>
    <w:rsid w:val="00BD3395"/>
    <w:rsid w:val="00BD364F"/>
    <w:rsid w:val="00BD3687"/>
    <w:rsid w:val="00BD381A"/>
    <w:rsid w:val="00BD3960"/>
    <w:rsid w:val="00BD3FE0"/>
    <w:rsid w:val="00BD4021"/>
    <w:rsid w:val="00BD4293"/>
    <w:rsid w:val="00BD4664"/>
    <w:rsid w:val="00BD46BC"/>
    <w:rsid w:val="00BD4849"/>
    <w:rsid w:val="00BD48FA"/>
    <w:rsid w:val="00BD4A01"/>
    <w:rsid w:val="00BD4BF2"/>
    <w:rsid w:val="00BD4F93"/>
    <w:rsid w:val="00BD4FE5"/>
    <w:rsid w:val="00BD5272"/>
    <w:rsid w:val="00BD5BEF"/>
    <w:rsid w:val="00BD61A4"/>
    <w:rsid w:val="00BD61D7"/>
    <w:rsid w:val="00BD6358"/>
    <w:rsid w:val="00BD66BD"/>
    <w:rsid w:val="00BD6936"/>
    <w:rsid w:val="00BD6E40"/>
    <w:rsid w:val="00BD6F0B"/>
    <w:rsid w:val="00BD703E"/>
    <w:rsid w:val="00BD7091"/>
    <w:rsid w:val="00BD75AB"/>
    <w:rsid w:val="00BD7697"/>
    <w:rsid w:val="00BE00A9"/>
    <w:rsid w:val="00BE0233"/>
    <w:rsid w:val="00BE068B"/>
    <w:rsid w:val="00BE069D"/>
    <w:rsid w:val="00BE0811"/>
    <w:rsid w:val="00BE084C"/>
    <w:rsid w:val="00BE0AF8"/>
    <w:rsid w:val="00BE1193"/>
    <w:rsid w:val="00BE17CE"/>
    <w:rsid w:val="00BE1D52"/>
    <w:rsid w:val="00BE21D3"/>
    <w:rsid w:val="00BE2940"/>
    <w:rsid w:val="00BE2E99"/>
    <w:rsid w:val="00BE3143"/>
    <w:rsid w:val="00BE342D"/>
    <w:rsid w:val="00BE3435"/>
    <w:rsid w:val="00BE3450"/>
    <w:rsid w:val="00BE3551"/>
    <w:rsid w:val="00BE372A"/>
    <w:rsid w:val="00BE39B3"/>
    <w:rsid w:val="00BE3F57"/>
    <w:rsid w:val="00BE431C"/>
    <w:rsid w:val="00BE4795"/>
    <w:rsid w:val="00BE483B"/>
    <w:rsid w:val="00BE4B40"/>
    <w:rsid w:val="00BE4BFA"/>
    <w:rsid w:val="00BE4DF8"/>
    <w:rsid w:val="00BE5198"/>
    <w:rsid w:val="00BE5297"/>
    <w:rsid w:val="00BE5698"/>
    <w:rsid w:val="00BE588B"/>
    <w:rsid w:val="00BE59C6"/>
    <w:rsid w:val="00BE6612"/>
    <w:rsid w:val="00BE67C6"/>
    <w:rsid w:val="00BE6A15"/>
    <w:rsid w:val="00BE6BD1"/>
    <w:rsid w:val="00BE6C74"/>
    <w:rsid w:val="00BE6C90"/>
    <w:rsid w:val="00BE6D4B"/>
    <w:rsid w:val="00BE703C"/>
    <w:rsid w:val="00BE78DC"/>
    <w:rsid w:val="00BE7B82"/>
    <w:rsid w:val="00BE7CBF"/>
    <w:rsid w:val="00BE7DBC"/>
    <w:rsid w:val="00BF006C"/>
    <w:rsid w:val="00BF01F9"/>
    <w:rsid w:val="00BF033E"/>
    <w:rsid w:val="00BF0415"/>
    <w:rsid w:val="00BF0AD5"/>
    <w:rsid w:val="00BF0F86"/>
    <w:rsid w:val="00BF11B9"/>
    <w:rsid w:val="00BF11D0"/>
    <w:rsid w:val="00BF11D7"/>
    <w:rsid w:val="00BF1411"/>
    <w:rsid w:val="00BF14B8"/>
    <w:rsid w:val="00BF154B"/>
    <w:rsid w:val="00BF16EA"/>
    <w:rsid w:val="00BF1B89"/>
    <w:rsid w:val="00BF22D4"/>
    <w:rsid w:val="00BF2658"/>
    <w:rsid w:val="00BF28B5"/>
    <w:rsid w:val="00BF2A09"/>
    <w:rsid w:val="00BF2B32"/>
    <w:rsid w:val="00BF3119"/>
    <w:rsid w:val="00BF3A0D"/>
    <w:rsid w:val="00BF3B70"/>
    <w:rsid w:val="00BF3E86"/>
    <w:rsid w:val="00BF4621"/>
    <w:rsid w:val="00BF47F5"/>
    <w:rsid w:val="00BF4849"/>
    <w:rsid w:val="00BF48DC"/>
    <w:rsid w:val="00BF4EA7"/>
    <w:rsid w:val="00BF4EA9"/>
    <w:rsid w:val="00BF4F46"/>
    <w:rsid w:val="00BF501F"/>
    <w:rsid w:val="00BF53C5"/>
    <w:rsid w:val="00BF5462"/>
    <w:rsid w:val="00BF585D"/>
    <w:rsid w:val="00BF64B6"/>
    <w:rsid w:val="00BF64F4"/>
    <w:rsid w:val="00BF6525"/>
    <w:rsid w:val="00BF66B2"/>
    <w:rsid w:val="00BF66C3"/>
    <w:rsid w:val="00BF6806"/>
    <w:rsid w:val="00BF6A45"/>
    <w:rsid w:val="00BF6F3E"/>
    <w:rsid w:val="00BF74A7"/>
    <w:rsid w:val="00BF7B2E"/>
    <w:rsid w:val="00BF7E1D"/>
    <w:rsid w:val="00C00141"/>
    <w:rsid w:val="00C00473"/>
    <w:rsid w:val="00C00595"/>
    <w:rsid w:val="00C0074A"/>
    <w:rsid w:val="00C0090A"/>
    <w:rsid w:val="00C00AAC"/>
    <w:rsid w:val="00C00EDB"/>
    <w:rsid w:val="00C00FD5"/>
    <w:rsid w:val="00C01050"/>
    <w:rsid w:val="00C0118B"/>
    <w:rsid w:val="00C01383"/>
    <w:rsid w:val="00C01407"/>
    <w:rsid w:val="00C0172B"/>
    <w:rsid w:val="00C019E2"/>
    <w:rsid w:val="00C01A93"/>
    <w:rsid w:val="00C01AC5"/>
    <w:rsid w:val="00C01E62"/>
    <w:rsid w:val="00C01F85"/>
    <w:rsid w:val="00C02025"/>
    <w:rsid w:val="00C021DD"/>
    <w:rsid w:val="00C02214"/>
    <w:rsid w:val="00C0242D"/>
    <w:rsid w:val="00C0247D"/>
    <w:rsid w:val="00C02863"/>
    <w:rsid w:val="00C02A12"/>
    <w:rsid w:val="00C02A58"/>
    <w:rsid w:val="00C02CB2"/>
    <w:rsid w:val="00C0327C"/>
    <w:rsid w:val="00C03394"/>
    <w:rsid w:val="00C034CE"/>
    <w:rsid w:val="00C03540"/>
    <w:rsid w:val="00C0354B"/>
    <w:rsid w:val="00C0383A"/>
    <w:rsid w:val="00C03D4D"/>
    <w:rsid w:val="00C03DBC"/>
    <w:rsid w:val="00C0447E"/>
    <w:rsid w:val="00C0476E"/>
    <w:rsid w:val="00C04854"/>
    <w:rsid w:val="00C04CB7"/>
    <w:rsid w:val="00C04E76"/>
    <w:rsid w:val="00C05692"/>
    <w:rsid w:val="00C056C2"/>
    <w:rsid w:val="00C058B9"/>
    <w:rsid w:val="00C0599E"/>
    <w:rsid w:val="00C05D0D"/>
    <w:rsid w:val="00C05E4E"/>
    <w:rsid w:val="00C0602F"/>
    <w:rsid w:val="00C062AB"/>
    <w:rsid w:val="00C0631D"/>
    <w:rsid w:val="00C06473"/>
    <w:rsid w:val="00C064C1"/>
    <w:rsid w:val="00C064E1"/>
    <w:rsid w:val="00C066B4"/>
    <w:rsid w:val="00C067FF"/>
    <w:rsid w:val="00C06BDD"/>
    <w:rsid w:val="00C06E1C"/>
    <w:rsid w:val="00C0759E"/>
    <w:rsid w:val="00C078AA"/>
    <w:rsid w:val="00C07971"/>
    <w:rsid w:val="00C07A5B"/>
    <w:rsid w:val="00C07B6C"/>
    <w:rsid w:val="00C07FD6"/>
    <w:rsid w:val="00C103AD"/>
    <w:rsid w:val="00C10789"/>
    <w:rsid w:val="00C10FCC"/>
    <w:rsid w:val="00C11026"/>
    <w:rsid w:val="00C1118D"/>
    <w:rsid w:val="00C111B2"/>
    <w:rsid w:val="00C11210"/>
    <w:rsid w:val="00C11215"/>
    <w:rsid w:val="00C11584"/>
    <w:rsid w:val="00C118E4"/>
    <w:rsid w:val="00C119D4"/>
    <w:rsid w:val="00C11F89"/>
    <w:rsid w:val="00C11FB8"/>
    <w:rsid w:val="00C121A4"/>
    <w:rsid w:val="00C12459"/>
    <w:rsid w:val="00C1252E"/>
    <w:rsid w:val="00C126F5"/>
    <w:rsid w:val="00C127D8"/>
    <w:rsid w:val="00C127E8"/>
    <w:rsid w:val="00C12862"/>
    <w:rsid w:val="00C129CA"/>
    <w:rsid w:val="00C12A4E"/>
    <w:rsid w:val="00C12FA9"/>
    <w:rsid w:val="00C1303C"/>
    <w:rsid w:val="00C1320C"/>
    <w:rsid w:val="00C1349D"/>
    <w:rsid w:val="00C135B5"/>
    <w:rsid w:val="00C1381F"/>
    <w:rsid w:val="00C13B9B"/>
    <w:rsid w:val="00C13BCB"/>
    <w:rsid w:val="00C13CFE"/>
    <w:rsid w:val="00C13D28"/>
    <w:rsid w:val="00C140A8"/>
    <w:rsid w:val="00C14386"/>
    <w:rsid w:val="00C144F0"/>
    <w:rsid w:val="00C14585"/>
    <w:rsid w:val="00C1462A"/>
    <w:rsid w:val="00C14991"/>
    <w:rsid w:val="00C1525B"/>
    <w:rsid w:val="00C15617"/>
    <w:rsid w:val="00C1580E"/>
    <w:rsid w:val="00C158EE"/>
    <w:rsid w:val="00C15E90"/>
    <w:rsid w:val="00C15EE5"/>
    <w:rsid w:val="00C16047"/>
    <w:rsid w:val="00C16224"/>
    <w:rsid w:val="00C16245"/>
    <w:rsid w:val="00C16516"/>
    <w:rsid w:val="00C165A0"/>
    <w:rsid w:val="00C16A2C"/>
    <w:rsid w:val="00C16C63"/>
    <w:rsid w:val="00C1701E"/>
    <w:rsid w:val="00C17484"/>
    <w:rsid w:val="00C17775"/>
    <w:rsid w:val="00C1784A"/>
    <w:rsid w:val="00C201E8"/>
    <w:rsid w:val="00C20226"/>
    <w:rsid w:val="00C202B1"/>
    <w:rsid w:val="00C20F02"/>
    <w:rsid w:val="00C20F89"/>
    <w:rsid w:val="00C21442"/>
    <w:rsid w:val="00C216CE"/>
    <w:rsid w:val="00C2184F"/>
    <w:rsid w:val="00C21881"/>
    <w:rsid w:val="00C21BAF"/>
    <w:rsid w:val="00C21D28"/>
    <w:rsid w:val="00C21E50"/>
    <w:rsid w:val="00C21F86"/>
    <w:rsid w:val="00C2207F"/>
    <w:rsid w:val="00C22484"/>
    <w:rsid w:val="00C22684"/>
    <w:rsid w:val="00C22A78"/>
    <w:rsid w:val="00C22B5D"/>
    <w:rsid w:val="00C23064"/>
    <w:rsid w:val="00C231B2"/>
    <w:rsid w:val="00C2354D"/>
    <w:rsid w:val="00C2387B"/>
    <w:rsid w:val="00C238FC"/>
    <w:rsid w:val="00C23C7E"/>
    <w:rsid w:val="00C23F37"/>
    <w:rsid w:val="00C2407B"/>
    <w:rsid w:val="00C24131"/>
    <w:rsid w:val="00C243F7"/>
    <w:rsid w:val="00C24630"/>
    <w:rsid w:val="00C246C5"/>
    <w:rsid w:val="00C248FE"/>
    <w:rsid w:val="00C2498D"/>
    <w:rsid w:val="00C249D2"/>
    <w:rsid w:val="00C24A48"/>
    <w:rsid w:val="00C24DC6"/>
    <w:rsid w:val="00C25020"/>
    <w:rsid w:val="00C2532B"/>
    <w:rsid w:val="00C254E7"/>
    <w:rsid w:val="00C25A28"/>
    <w:rsid w:val="00C25A82"/>
    <w:rsid w:val="00C25E06"/>
    <w:rsid w:val="00C25FD6"/>
    <w:rsid w:val="00C2642E"/>
    <w:rsid w:val="00C265E0"/>
    <w:rsid w:val="00C26749"/>
    <w:rsid w:val="00C268BF"/>
    <w:rsid w:val="00C26D30"/>
    <w:rsid w:val="00C2748B"/>
    <w:rsid w:val="00C2765A"/>
    <w:rsid w:val="00C2766A"/>
    <w:rsid w:val="00C278A4"/>
    <w:rsid w:val="00C278DA"/>
    <w:rsid w:val="00C27A1F"/>
    <w:rsid w:val="00C27A38"/>
    <w:rsid w:val="00C27DDB"/>
    <w:rsid w:val="00C3004C"/>
    <w:rsid w:val="00C30063"/>
    <w:rsid w:val="00C3022B"/>
    <w:rsid w:val="00C303EF"/>
    <w:rsid w:val="00C309CB"/>
    <w:rsid w:val="00C30A2A"/>
    <w:rsid w:val="00C30D65"/>
    <w:rsid w:val="00C30F7D"/>
    <w:rsid w:val="00C3128C"/>
    <w:rsid w:val="00C31319"/>
    <w:rsid w:val="00C31449"/>
    <w:rsid w:val="00C31488"/>
    <w:rsid w:val="00C31E53"/>
    <w:rsid w:val="00C31E55"/>
    <w:rsid w:val="00C31EFE"/>
    <w:rsid w:val="00C3285F"/>
    <w:rsid w:val="00C32961"/>
    <w:rsid w:val="00C32C06"/>
    <w:rsid w:val="00C32E9A"/>
    <w:rsid w:val="00C32FCA"/>
    <w:rsid w:val="00C33143"/>
    <w:rsid w:val="00C3328C"/>
    <w:rsid w:val="00C335AB"/>
    <w:rsid w:val="00C3384C"/>
    <w:rsid w:val="00C33993"/>
    <w:rsid w:val="00C33BD3"/>
    <w:rsid w:val="00C34BFC"/>
    <w:rsid w:val="00C34E31"/>
    <w:rsid w:val="00C34E78"/>
    <w:rsid w:val="00C35183"/>
    <w:rsid w:val="00C352CE"/>
    <w:rsid w:val="00C353A9"/>
    <w:rsid w:val="00C3562B"/>
    <w:rsid w:val="00C35724"/>
    <w:rsid w:val="00C35EE5"/>
    <w:rsid w:val="00C363E4"/>
    <w:rsid w:val="00C364CC"/>
    <w:rsid w:val="00C366BD"/>
    <w:rsid w:val="00C368AE"/>
    <w:rsid w:val="00C369C7"/>
    <w:rsid w:val="00C36AA6"/>
    <w:rsid w:val="00C3714F"/>
    <w:rsid w:val="00C3756E"/>
    <w:rsid w:val="00C3785B"/>
    <w:rsid w:val="00C3787D"/>
    <w:rsid w:val="00C379D8"/>
    <w:rsid w:val="00C37B0B"/>
    <w:rsid w:val="00C37BBE"/>
    <w:rsid w:val="00C37E34"/>
    <w:rsid w:val="00C37E92"/>
    <w:rsid w:val="00C4069E"/>
    <w:rsid w:val="00C414B3"/>
    <w:rsid w:val="00C414C7"/>
    <w:rsid w:val="00C41AC4"/>
    <w:rsid w:val="00C41ADC"/>
    <w:rsid w:val="00C41C54"/>
    <w:rsid w:val="00C41DAE"/>
    <w:rsid w:val="00C42152"/>
    <w:rsid w:val="00C42637"/>
    <w:rsid w:val="00C4265A"/>
    <w:rsid w:val="00C426B9"/>
    <w:rsid w:val="00C426DA"/>
    <w:rsid w:val="00C42823"/>
    <w:rsid w:val="00C4285A"/>
    <w:rsid w:val="00C42F06"/>
    <w:rsid w:val="00C430DE"/>
    <w:rsid w:val="00C4340E"/>
    <w:rsid w:val="00C43E4B"/>
    <w:rsid w:val="00C44149"/>
    <w:rsid w:val="00C441D9"/>
    <w:rsid w:val="00C44410"/>
    <w:rsid w:val="00C4464C"/>
    <w:rsid w:val="00C44855"/>
    <w:rsid w:val="00C44A15"/>
    <w:rsid w:val="00C44C48"/>
    <w:rsid w:val="00C45162"/>
    <w:rsid w:val="00C4534D"/>
    <w:rsid w:val="00C4630A"/>
    <w:rsid w:val="00C46E05"/>
    <w:rsid w:val="00C46FA6"/>
    <w:rsid w:val="00C470F6"/>
    <w:rsid w:val="00C47137"/>
    <w:rsid w:val="00C4717B"/>
    <w:rsid w:val="00C47541"/>
    <w:rsid w:val="00C47DFD"/>
    <w:rsid w:val="00C50016"/>
    <w:rsid w:val="00C502C4"/>
    <w:rsid w:val="00C50A53"/>
    <w:rsid w:val="00C50A5C"/>
    <w:rsid w:val="00C50E15"/>
    <w:rsid w:val="00C512AD"/>
    <w:rsid w:val="00C5136E"/>
    <w:rsid w:val="00C51A55"/>
    <w:rsid w:val="00C523F0"/>
    <w:rsid w:val="00C5249A"/>
    <w:rsid w:val="00C5264A"/>
    <w:rsid w:val="00C526D2"/>
    <w:rsid w:val="00C52925"/>
    <w:rsid w:val="00C529DF"/>
    <w:rsid w:val="00C5314A"/>
    <w:rsid w:val="00C531E7"/>
    <w:rsid w:val="00C5334E"/>
    <w:rsid w:val="00C537CF"/>
    <w:rsid w:val="00C53835"/>
    <w:rsid w:val="00C53A2E"/>
    <w:rsid w:val="00C53A5A"/>
    <w:rsid w:val="00C53A91"/>
    <w:rsid w:val="00C53B64"/>
    <w:rsid w:val="00C53CC7"/>
    <w:rsid w:val="00C5423D"/>
    <w:rsid w:val="00C542A6"/>
    <w:rsid w:val="00C542F3"/>
    <w:rsid w:val="00C548A0"/>
    <w:rsid w:val="00C54CE3"/>
    <w:rsid w:val="00C54E43"/>
    <w:rsid w:val="00C55116"/>
    <w:rsid w:val="00C552A3"/>
    <w:rsid w:val="00C55478"/>
    <w:rsid w:val="00C5596A"/>
    <w:rsid w:val="00C559B1"/>
    <w:rsid w:val="00C56183"/>
    <w:rsid w:val="00C56409"/>
    <w:rsid w:val="00C56D5D"/>
    <w:rsid w:val="00C57008"/>
    <w:rsid w:val="00C5726A"/>
    <w:rsid w:val="00C5794E"/>
    <w:rsid w:val="00C605CB"/>
    <w:rsid w:val="00C605D4"/>
    <w:rsid w:val="00C6090F"/>
    <w:rsid w:val="00C60968"/>
    <w:rsid w:val="00C60D56"/>
    <w:rsid w:val="00C60E36"/>
    <w:rsid w:val="00C60E3B"/>
    <w:rsid w:val="00C61315"/>
    <w:rsid w:val="00C615E2"/>
    <w:rsid w:val="00C6179F"/>
    <w:rsid w:val="00C618EC"/>
    <w:rsid w:val="00C61AD8"/>
    <w:rsid w:val="00C62455"/>
    <w:rsid w:val="00C626CF"/>
    <w:rsid w:val="00C6278C"/>
    <w:rsid w:val="00C629F2"/>
    <w:rsid w:val="00C62A60"/>
    <w:rsid w:val="00C62D73"/>
    <w:rsid w:val="00C63066"/>
    <w:rsid w:val="00C635AE"/>
    <w:rsid w:val="00C6377B"/>
    <w:rsid w:val="00C638B6"/>
    <w:rsid w:val="00C63D39"/>
    <w:rsid w:val="00C63D73"/>
    <w:rsid w:val="00C63EDD"/>
    <w:rsid w:val="00C64589"/>
    <w:rsid w:val="00C64628"/>
    <w:rsid w:val="00C64A03"/>
    <w:rsid w:val="00C64A23"/>
    <w:rsid w:val="00C64E1D"/>
    <w:rsid w:val="00C64E86"/>
    <w:rsid w:val="00C64F33"/>
    <w:rsid w:val="00C65065"/>
    <w:rsid w:val="00C6522D"/>
    <w:rsid w:val="00C653B1"/>
    <w:rsid w:val="00C6557B"/>
    <w:rsid w:val="00C65645"/>
    <w:rsid w:val="00C65793"/>
    <w:rsid w:val="00C65B36"/>
    <w:rsid w:val="00C660CA"/>
    <w:rsid w:val="00C6628E"/>
    <w:rsid w:val="00C66371"/>
    <w:rsid w:val="00C663BC"/>
    <w:rsid w:val="00C663DD"/>
    <w:rsid w:val="00C66A93"/>
    <w:rsid w:val="00C672E5"/>
    <w:rsid w:val="00C672FF"/>
    <w:rsid w:val="00C6799B"/>
    <w:rsid w:val="00C67B2A"/>
    <w:rsid w:val="00C67BBD"/>
    <w:rsid w:val="00C67E67"/>
    <w:rsid w:val="00C70742"/>
    <w:rsid w:val="00C70918"/>
    <w:rsid w:val="00C713B6"/>
    <w:rsid w:val="00C713E7"/>
    <w:rsid w:val="00C715CB"/>
    <w:rsid w:val="00C7196C"/>
    <w:rsid w:val="00C719F6"/>
    <w:rsid w:val="00C71B18"/>
    <w:rsid w:val="00C72090"/>
    <w:rsid w:val="00C726BA"/>
    <w:rsid w:val="00C7292E"/>
    <w:rsid w:val="00C73173"/>
    <w:rsid w:val="00C73198"/>
    <w:rsid w:val="00C734BB"/>
    <w:rsid w:val="00C73660"/>
    <w:rsid w:val="00C737F7"/>
    <w:rsid w:val="00C7387C"/>
    <w:rsid w:val="00C73955"/>
    <w:rsid w:val="00C739C6"/>
    <w:rsid w:val="00C739E4"/>
    <w:rsid w:val="00C73BEF"/>
    <w:rsid w:val="00C73C7A"/>
    <w:rsid w:val="00C73D35"/>
    <w:rsid w:val="00C742BE"/>
    <w:rsid w:val="00C74525"/>
    <w:rsid w:val="00C74C68"/>
    <w:rsid w:val="00C74CCE"/>
    <w:rsid w:val="00C74E02"/>
    <w:rsid w:val="00C74E88"/>
    <w:rsid w:val="00C75067"/>
    <w:rsid w:val="00C75085"/>
    <w:rsid w:val="00C753A5"/>
    <w:rsid w:val="00C75749"/>
    <w:rsid w:val="00C75A05"/>
    <w:rsid w:val="00C75B04"/>
    <w:rsid w:val="00C75F1B"/>
    <w:rsid w:val="00C76094"/>
    <w:rsid w:val="00C7662E"/>
    <w:rsid w:val="00C76872"/>
    <w:rsid w:val="00C775C0"/>
    <w:rsid w:val="00C776C6"/>
    <w:rsid w:val="00C77768"/>
    <w:rsid w:val="00C77BD5"/>
    <w:rsid w:val="00C77DF4"/>
    <w:rsid w:val="00C8046E"/>
    <w:rsid w:val="00C80505"/>
    <w:rsid w:val="00C80924"/>
    <w:rsid w:val="00C80C0C"/>
    <w:rsid w:val="00C80FF9"/>
    <w:rsid w:val="00C81099"/>
    <w:rsid w:val="00C810A1"/>
    <w:rsid w:val="00C8122C"/>
    <w:rsid w:val="00C813FB"/>
    <w:rsid w:val="00C8198F"/>
    <w:rsid w:val="00C81A66"/>
    <w:rsid w:val="00C8201A"/>
    <w:rsid w:val="00C820A4"/>
    <w:rsid w:val="00C82127"/>
    <w:rsid w:val="00C82180"/>
    <w:rsid w:val="00C82780"/>
    <w:rsid w:val="00C8286B"/>
    <w:rsid w:val="00C828BF"/>
    <w:rsid w:val="00C82B71"/>
    <w:rsid w:val="00C82F34"/>
    <w:rsid w:val="00C830D5"/>
    <w:rsid w:val="00C832E8"/>
    <w:rsid w:val="00C83567"/>
    <w:rsid w:val="00C83686"/>
    <w:rsid w:val="00C83812"/>
    <w:rsid w:val="00C83A01"/>
    <w:rsid w:val="00C83D4A"/>
    <w:rsid w:val="00C83E4D"/>
    <w:rsid w:val="00C84394"/>
    <w:rsid w:val="00C844DD"/>
    <w:rsid w:val="00C848F5"/>
    <w:rsid w:val="00C84BF1"/>
    <w:rsid w:val="00C85275"/>
    <w:rsid w:val="00C854B7"/>
    <w:rsid w:val="00C859B9"/>
    <w:rsid w:val="00C85A7F"/>
    <w:rsid w:val="00C85D58"/>
    <w:rsid w:val="00C85FA8"/>
    <w:rsid w:val="00C86A68"/>
    <w:rsid w:val="00C86BDC"/>
    <w:rsid w:val="00C86D53"/>
    <w:rsid w:val="00C86E90"/>
    <w:rsid w:val="00C871A3"/>
    <w:rsid w:val="00C87231"/>
    <w:rsid w:val="00C8750E"/>
    <w:rsid w:val="00C87AF1"/>
    <w:rsid w:val="00C87DAD"/>
    <w:rsid w:val="00C87DBB"/>
    <w:rsid w:val="00C900BE"/>
    <w:rsid w:val="00C90639"/>
    <w:rsid w:val="00C909D1"/>
    <w:rsid w:val="00C90AA1"/>
    <w:rsid w:val="00C90DD9"/>
    <w:rsid w:val="00C90EFB"/>
    <w:rsid w:val="00C90F7C"/>
    <w:rsid w:val="00C910EC"/>
    <w:rsid w:val="00C915B9"/>
    <w:rsid w:val="00C9168B"/>
    <w:rsid w:val="00C91789"/>
    <w:rsid w:val="00C91DBF"/>
    <w:rsid w:val="00C91DE9"/>
    <w:rsid w:val="00C91FCF"/>
    <w:rsid w:val="00C9223B"/>
    <w:rsid w:val="00C92632"/>
    <w:rsid w:val="00C92A2E"/>
    <w:rsid w:val="00C92B87"/>
    <w:rsid w:val="00C93174"/>
    <w:rsid w:val="00C9351E"/>
    <w:rsid w:val="00C93CDD"/>
    <w:rsid w:val="00C93D69"/>
    <w:rsid w:val="00C94450"/>
    <w:rsid w:val="00C947F8"/>
    <w:rsid w:val="00C94DBB"/>
    <w:rsid w:val="00C9515F"/>
    <w:rsid w:val="00C960B0"/>
    <w:rsid w:val="00C9621A"/>
    <w:rsid w:val="00C963C5"/>
    <w:rsid w:val="00C96463"/>
    <w:rsid w:val="00C9681F"/>
    <w:rsid w:val="00C96DE9"/>
    <w:rsid w:val="00C96E66"/>
    <w:rsid w:val="00C97226"/>
    <w:rsid w:val="00C97312"/>
    <w:rsid w:val="00C9793A"/>
    <w:rsid w:val="00C97BA5"/>
    <w:rsid w:val="00C97D00"/>
    <w:rsid w:val="00CA030C"/>
    <w:rsid w:val="00CA05A5"/>
    <w:rsid w:val="00CA0654"/>
    <w:rsid w:val="00CA06CD"/>
    <w:rsid w:val="00CA0981"/>
    <w:rsid w:val="00CA0D5D"/>
    <w:rsid w:val="00CA10E2"/>
    <w:rsid w:val="00CA125B"/>
    <w:rsid w:val="00CA137C"/>
    <w:rsid w:val="00CA183E"/>
    <w:rsid w:val="00CA1A8B"/>
    <w:rsid w:val="00CA1BCD"/>
    <w:rsid w:val="00CA1BFC"/>
    <w:rsid w:val="00CA1F41"/>
    <w:rsid w:val="00CA1F63"/>
    <w:rsid w:val="00CA2148"/>
    <w:rsid w:val="00CA2684"/>
    <w:rsid w:val="00CA2715"/>
    <w:rsid w:val="00CA293B"/>
    <w:rsid w:val="00CA2B63"/>
    <w:rsid w:val="00CA2E31"/>
    <w:rsid w:val="00CA2E53"/>
    <w:rsid w:val="00CA32EE"/>
    <w:rsid w:val="00CA346C"/>
    <w:rsid w:val="00CA3622"/>
    <w:rsid w:val="00CA36E9"/>
    <w:rsid w:val="00CA38B4"/>
    <w:rsid w:val="00CA39D0"/>
    <w:rsid w:val="00CA44F0"/>
    <w:rsid w:val="00CA4665"/>
    <w:rsid w:val="00CA46A2"/>
    <w:rsid w:val="00CA4776"/>
    <w:rsid w:val="00CA479F"/>
    <w:rsid w:val="00CA484E"/>
    <w:rsid w:val="00CA4DB6"/>
    <w:rsid w:val="00CA50D2"/>
    <w:rsid w:val="00CA5104"/>
    <w:rsid w:val="00CA53AD"/>
    <w:rsid w:val="00CA5741"/>
    <w:rsid w:val="00CA5771"/>
    <w:rsid w:val="00CA5948"/>
    <w:rsid w:val="00CA59FB"/>
    <w:rsid w:val="00CA5B13"/>
    <w:rsid w:val="00CA5B31"/>
    <w:rsid w:val="00CA5F22"/>
    <w:rsid w:val="00CA606C"/>
    <w:rsid w:val="00CA60EF"/>
    <w:rsid w:val="00CA6658"/>
    <w:rsid w:val="00CA6961"/>
    <w:rsid w:val="00CA6A1A"/>
    <w:rsid w:val="00CA6E4F"/>
    <w:rsid w:val="00CA7245"/>
    <w:rsid w:val="00CA75EF"/>
    <w:rsid w:val="00CA77E1"/>
    <w:rsid w:val="00CA794B"/>
    <w:rsid w:val="00CA7A90"/>
    <w:rsid w:val="00CA7BB6"/>
    <w:rsid w:val="00CA7C56"/>
    <w:rsid w:val="00CB02A5"/>
    <w:rsid w:val="00CB02A6"/>
    <w:rsid w:val="00CB03FA"/>
    <w:rsid w:val="00CB0CD6"/>
    <w:rsid w:val="00CB1772"/>
    <w:rsid w:val="00CB276B"/>
    <w:rsid w:val="00CB2863"/>
    <w:rsid w:val="00CB2AEF"/>
    <w:rsid w:val="00CB2B75"/>
    <w:rsid w:val="00CB2B89"/>
    <w:rsid w:val="00CB2EB9"/>
    <w:rsid w:val="00CB2F03"/>
    <w:rsid w:val="00CB2F20"/>
    <w:rsid w:val="00CB30CA"/>
    <w:rsid w:val="00CB352B"/>
    <w:rsid w:val="00CB35E2"/>
    <w:rsid w:val="00CB3C67"/>
    <w:rsid w:val="00CB3F97"/>
    <w:rsid w:val="00CB448A"/>
    <w:rsid w:val="00CB4BAD"/>
    <w:rsid w:val="00CB4C88"/>
    <w:rsid w:val="00CB4F01"/>
    <w:rsid w:val="00CB4FC7"/>
    <w:rsid w:val="00CB51AF"/>
    <w:rsid w:val="00CB56C6"/>
    <w:rsid w:val="00CB5826"/>
    <w:rsid w:val="00CB5A33"/>
    <w:rsid w:val="00CB5ADF"/>
    <w:rsid w:val="00CB6207"/>
    <w:rsid w:val="00CB6613"/>
    <w:rsid w:val="00CB6734"/>
    <w:rsid w:val="00CB6A1D"/>
    <w:rsid w:val="00CB6C8B"/>
    <w:rsid w:val="00CB6FD8"/>
    <w:rsid w:val="00CB715E"/>
    <w:rsid w:val="00CB7949"/>
    <w:rsid w:val="00CB7B66"/>
    <w:rsid w:val="00CB7BBB"/>
    <w:rsid w:val="00CB7CE0"/>
    <w:rsid w:val="00CB7D53"/>
    <w:rsid w:val="00CC006D"/>
    <w:rsid w:val="00CC028E"/>
    <w:rsid w:val="00CC0397"/>
    <w:rsid w:val="00CC0509"/>
    <w:rsid w:val="00CC056B"/>
    <w:rsid w:val="00CC0654"/>
    <w:rsid w:val="00CC0801"/>
    <w:rsid w:val="00CC09E4"/>
    <w:rsid w:val="00CC1CFB"/>
    <w:rsid w:val="00CC1D64"/>
    <w:rsid w:val="00CC1E75"/>
    <w:rsid w:val="00CC20E4"/>
    <w:rsid w:val="00CC22A6"/>
    <w:rsid w:val="00CC2314"/>
    <w:rsid w:val="00CC2735"/>
    <w:rsid w:val="00CC2948"/>
    <w:rsid w:val="00CC2E0E"/>
    <w:rsid w:val="00CC2FAE"/>
    <w:rsid w:val="00CC31C5"/>
    <w:rsid w:val="00CC337A"/>
    <w:rsid w:val="00CC3508"/>
    <w:rsid w:val="00CC361C"/>
    <w:rsid w:val="00CC3C34"/>
    <w:rsid w:val="00CC3FC7"/>
    <w:rsid w:val="00CC4057"/>
    <w:rsid w:val="00CC40F1"/>
    <w:rsid w:val="00CC450D"/>
    <w:rsid w:val="00CC45C3"/>
    <w:rsid w:val="00CC466A"/>
    <w:rsid w:val="00CC474B"/>
    <w:rsid w:val="00CC47BE"/>
    <w:rsid w:val="00CC4A02"/>
    <w:rsid w:val="00CC4BEF"/>
    <w:rsid w:val="00CC4D65"/>
    <w:rsid w:val="00CC5253"/>
    <w:rsid w:val="00CC5405"/>
    <w:rsid w:val="00CC546D"/>
    <w:rsid w:val="00CC5539"/>
    <w:rsid w:val="00CC5823"/>
    <w:rsid w:val="00CC5EBD"/>
    <w:rsid w:val="00CC658C"/>
    <w:rsid w:val="00CC67BF"/>
    <w:rsid w:val="00CC6B62"/>
    <w:rsid w:val="00CC7115"/>
    <w:rsid w:val="00CC71B5"/>
    <w:rsid w:val="00CC71DE"/>
    <w:rsid w:val="00CC7E46"/>
    <w:rsid w:val="00CD02E6"/>
    <w:rsid w:val="00CD0843"/>
    <w:rsid w:val="00CD0D4D"/>
    <w:rsid w:val="00CD1136"/>
    <w:rsid w:val="00CD12A5"/>
    <w:rsid w:val="00CD1649"/>
    <w:rsid w:val="00CD16AD"/>
    <w:rsid w:val="00CD1924"/>
    <w:rsid w:val="00CD208F"/>
    <w:rsid w:val="00CD20D1"/>
    <w:rsid w:val="00CD221C"/>
    <w:rsid w:val="00CD2402"/>
    <w:rsid w:val="00CD282C"/>
    <w:rsid w:val="00CD2945"/>
    <w:rsid w:val="00CD2C7A"/>
    <w:rsid w:val="00CD2DF5"/>
    <w:rsid w:val="00CD30C9"/>
    <w:rsid w:val="00CD30E9"/>
    <w:rsid w:val="00CD334F"/>
    <w:rsid w:val="00CD3404"/>
    <w:rsid w:val="00CD36FF"/>
    <w:rsid w:val="00CD38CB"/>
    <w:rsid w:val="00CD38D4"/>
    <w:rsid w:val="00CD38E5"/>
    <w:rsid w:val="00CD3901"/>
    <w:rsid w:val="00CD39E1"/>
    <w:rsid w:val="00CD3A56"/>
    <w:rsid w:val="00CD4517"/>
    <w:rsid w:val="00CD463C"/>
    <w:rsid w:val="00CD4641"/>
    <w:rsid w:val="00CD4689"/>
    <w:rsid w:val="00CD4786"/>
    <w:rsid w:val="00CD4804"/>
    <w:rsid w:val="00CD4E31"/>
    <w:rsid w:val="00CD4E6D"/>
    <w:rsid w:val="00CD4ED9"/>
    <w:rsid w:val="00CD50B6"/>
    <w:rsid w:val="00CD52AC"/>
    <w:rsid w:val="00CD5313"/>
    <w:rsid w:val="00CD5678"/>
    <w:rsid w:val="00CD57D2"/>
    <w:rsid w:val="00CD599B"/>
    <w:rsid w:val="00CD5A78"/>
    <w:rsid w:val="00CD6065"/>
    <w:rsid w:val="00CD61A8"/>
    <w:rsid w:val="00CD6581"/>
    <w:rsid w:val="00CD6777"/>
    <w:rsid w:val="00CD67DF"/>
    <w:rsid w:val="00CD6922"/>
    <w:rsid w:val="00CD69C6"/>
    <w:rsid w:val="00CD6DC8"/>
    <w:rsid w:val="00CD6F05"/>
    <w:rsid w:val="00CD71AD"/>
    <w:rsid w:val="00CD72BB"/>
    <w:rsid w:val="00CD7345"/>
    <w:rsid w:val="00CD74AA"/>
    <w:rsid w:val="00CD7B16"/>
    <w:rsid w:val="00CD7B69"/>
    <w:rsid w:val="00CE0039"/>
    <w:rsid w:val="00CE07DE"/>
    <w:rsid w:val="00CE09B0"/>
    <w:rsid w:val="00CE09EA"/>
    <w:rsid w:val="00CE0A7E"/>
    <w:rsid w:val="00CE0C55"/>
    <w:rsid w:val="00CE0DC4"/>
    <w:rsid w:val="00CE0EC6"/>
    <w:rsid w:val="00CE0F5B"/>
    <w:rsid w:val="00CE1243"/>
    <w:rsid w:val="00CE13EC"/>
    <w:rsid w:val="00CE14B2"/>
    <w:rsid w:val="00CE17B3"/>
    <w:rsid w:val="00CE1AC5"/>
    <w:rsid w:val="00CE1AD0"/>
    <w:rsid w:val="00CE20BA"/>
    <w:rsid w:val="00CE24C8"/>
    <w:rsid w:val="00CE311B"/>
    <w:rsid w:val="00CE328F"/>
    <w:rsid w:val="00CE3305"/>
    <w:rsid w:val="00CE35E0"/>
    <w:rsid w:val="00CE372E"/>
    <w:rsid w:val="00CE37E5"/>
    <w:rsid w:val="00CE392A"/>
    <w:rsid w:val="00CE3CCE"/>
    <w:rsid w:val="00CE3CF4"/>
    <w:rsid w:val="00CE3FE5"/>
    <w:rsid w:val="00CE407D"/>
    <w:rsid w:val="00CE436C"/>
    <w:rsid w:val="00CE48DE"/>
    <w:rsid w:val="00CE4CA0"/>
    <w:rsid w:val="00CE4FC6"/>
    <w:rsid w:val="00CE52F5"/>
    <w:rsid w:val="00CE5525"/>
    <w:rsid w:val="00CE584D"/>
    <w:rsid w:val="00CE5C3A"/>
    <w:rsid w:val="00CE5E48"/>
    <w:rsid w:val="00CE5F3C"/>
    <w:rsid w:val="00CE613C"/>
    <w:rsid w:val="00CE617B"/>
    <w:rsid w:val="00CE63DC"/>
    <w:rsid w:val="00CE684E"/>
    <w:rsid w:val="00CE6ADA"/>
    <w:rsid w:val="00CE6E20"/>
    <w:rsid w:val="00CE6E7B"/>
    <w:rsid w:val="00CE6EDB"/>
    <w:rsid w:val="00CE7037"/>
    <w:rsid w:val="00CE714A"/>
    <w:rsid w:val="00CE7270"/>
    <w:rsid w:val="00CE72F0"/>
    <w:rsid w:val="00CE7544"/>
    <w:rsid w:val="00CE7A09"/>
    <w:rsid w:val="00CE7C10"/>
    <w:rsid w:val="00CE7DE4"/>
    <w:rsid w:val="00CF006D"/>
    <w:rsid w:val="00CF00C9"/>
    <w:rsid w:val="00CF0793"/>
    <w:rsid w:val="00CF085C"/>
    <w:rsid w:val="00CF0A1B"/>
    <w:rsid w:val="00CF0A22"/>
    <w:rsid w:val="00CF0B2B"/>
    <w:rsid w:val="00CF0C5A"/>
    <w:rsid w:val="00CF1094"/>
    <w:rsid w:val="00CF142C"/>
    <w:rsid w:val="00CF14EB"/>
    <w:rsid w:val="00CF1511"/>
    <w:rsid w:val="00CF159E"/>
    <w:rsid w:val="00CF1882"/>
    <w:rsid w:val="00CF19F6"/>
    <w:rsid w:val="00CF1B45"/>
    <w:rsid w:val="00CF1B82"/>
    <w:rsid w:val="00CF1C7C"/>
    <w:rsid w:val="00CF1E68"/>
    <w:rsid w:val="00CF1F44"/>
    <w:rsid w:val="00CF2078"/>
    <w:rsid w:val="00CF216C"/>
    <w:rsid w:val="00CF223F"/>
    <w:rsid w:val="00CF264A"/>
    <w:rsid w:val="00CF27F7"/>
    <w:rsid w:val="00CF2BFD"/>
    <w:rsid w:val="00CF2D1E"/>
    <w:rsid w:val="00CF2F4F"/>
    <w:rsid w:val="00CF304C"/>
    <w:rsid w:val="00CF30A9"/>
    <w:rsid w:val="00CF31F8"/>
    <w:rsid w:val="00CF3274"/>
    <w:rsid w:val="00CF33B8"/>
    <w:rsid w:val="00CF377D"/>
    <w:rsid w:val="00CF37D3"/>
    <w:rsid w:val="00CF37F6"/>
    <w:rsid w:val="00CF39F1"/>
    <w:rsid w:val="00CF3DAF"/>
    <w:rsid w:val="00CF413F"/>
    <w:rsid w:val="00CF4187"/>
    <w:rsid w:val="00CF452E"/>
    <w:rsid w:val="00CF495B"/>
    <w:rsid w:val="00CF4AF4"/>
    <w:rsid w:val="00CF4EC2"/>
    <w:rsid w:val="00CF536D"/>
    <w:rsid w:val="00CF54B2"/>
    <w:rsid w:val="00CF5582"/>
    <w:rsid w:val="00CF55CB"/>
    <w:rsid w:val="00CF55FD"/>
    <w:rsid w:val="00CF5D29"/>
    <w:rsid w:val="00CF5FFC"/>
    <w:rsid w:val="00CF6016"/>
    <w:rsid w:val="00CF6073"/>
    <w:rsid w:val="00CF6200"/>
    <w:rsid w:val="00CF671D"/>
    <w:rsid w:val="00CF6D7F"/>
    <w:rsid w:val="00CF6E16"/>
    <w:rsid w:val="00CF744E"/>
    <w:rsid w:val="00CF7486"/>
    <w:rsid w:val="00CF74D2"/>
    <w:rsid w:val="00CF74D7"/>
    <w:rsid w:val="00CF760B"/>
    <w:rsid w:val="00CF7973"/>
    <w:rsid w:val="00CF7B03"/>
    <w:rsid w:val="00CF7D1C"/>
    <w:rsid w:val="00D0041D"/>
    <w:rsid w:val="00D0061E"/>
    <w:rsid w:val="00D00AEF"/>
    <w:rsid w:val="00D0121E"/>
    <w:rsid w:val="00D012DC"/>
    <w:rsid w:val="00D01FA9"/>
    <w:rsid w:val="00D01FEC"/>
    <w:rsid w:val="00D02B23"/>
    <w:rsid w:val="00D02B70"/>
    <w:rsid w:val="00D02D01"/>
    <w:rsid w:val="00D02E9D"/>
    <w:rsid w:val="00D0362F"/>
    <w:rsid w:val="00D03C6A"/>
    <w:rsid w:val="00D042AE"/>
    <w:rsid w:val="00D0443B"/>
    <w:rsid w:val="00D0451C"/>
    <w:rsid w:val="00D045C4"/>
    <w:rsid w:val="00D04730"/>
    <w:rsid w:val="00D0497D"/>
    <w:rsid w:val="00D04C3B"/>
    <w:rsid w:val="00D050B8"/>
    <w:rsid w:val="00D058C8"/>
    <w:rsid w:val="00D05A47"/>
    <w:rsid w:val="00D05B1C"/>
    <w:rsid w:val="00D05BAD"/>
    <w:rsid w:val="00D06309"/>
    <w:rsid w:val="00D0632D"/>
    <w:rsid w:val="00D064D1"/>
    <w:rsid w:val="00D06585"/>
    <w:rsid w:val="00D06763"/>
    <w:rsid w:val="00D069D6"/>
    <w:rsid w:val="00D06B9F"/>
    <w:rsid w:val="00D06D66"/>
    <w:rsid w:val="00D06DB4"/>
    <w:rsid w:val="00D06DDB"/>
    <w:rsid w:val="00D07289"/>
    <w:rsid w:val="00D07548"/>
    <w:rsid w:val="00D07A35"/>
    <w:rsid w:val="00D10468"/>
    <w:rsid w:val="00D104AE"/>
    <w:rsid w:val="00D1085C"/>
    <w:rsid w:val="00D108B7"/>
    <w:rsid w:val="00D10C8E"/>
    <w:rsid w:val="00D10CB8"/>
    <w:rsid w:val="00D10D8F"/>
    <w:rsid w:val="00D10F40"/>
    <w:rsid w:val="00D11050"/>
    <w:rsid w:val="00D11131"/>
    <w:rsid w:val="00D113E4"/>
    <w:rsid w:val="00D114D2"/>
    <w:rsid w:val="00D1166A"/>
    <w:rsid w:val="00D11883"/>
    <w:rsid w:val="00D11F85"/>
    <w:rsid w:val="00D11FB5"/>
    <w:rsid w:val="00D1230F"/>
    <w:rsid w:val="00D12319"/>
    <w:rsid w:val="00D12806"/>
    <w:rsid w:val="00D12829"/>
    <w:rsid w:val="00D12D44"/>
    <w:rsid w:val="00D12D86"/>
    <w:rsid w:val="00D12DBF"/>
    <w:rsid w:val="00D13045"/>
    <w:rsid w:val="00D1323B"/>
    <w:rsid w:val="00D135D2"/>
    <w:rsid w:val="00D1368B"/>
    <w:rsid w:val="00D13D4D"/>
    <w:rsid w:val="00D13DF6"/>
    <w:rsid w:val="00D13ECA"/>
    <w:rsid w:val="00D140DD"/>
    <w:rsid w:val="00D147B5"/>
    <w:rsid w:val="00D14ADD"/>
    <w:rsid w:val="00D14B06"/>
    <w:rsid w:val="00D14CEF"/>
    <w:rsid w:val="00D15018"/>
    <w:rsid w:val="00D1526A"/>
    <w:rsid w:val="00D155B9"/>
    <w:rsid w:val="00D158AC"/>
    <w:rsid w:val="00D159AF"/>
    <w:rsid w:val="00D15E29"/>
    <w:rsid w:val="00D16065"/>
    <w:rsid w:val="00D16219"/>
    <w:rsid w:val="00D16644"/>
    <w:rsid w:val="00D1694C"/>
    <w:rsid w:val="00D16ACB"/>
    <w:rsid w:val="00D16D79"/>
    <w:rsid w:val="00D1711A"/>
    <w:rsid w:val="00D17747"/>
    <w:rsid w:val="00D17A48"/>
    <w:rsid w:val="00D17D54"/>
    <w:rsid w:val="00D17F60"/>
    <w:rsid w:val="00D17FA0"/>
    <w:rsid w:val="00D2044A"/>
    <w:rsid w:val="00D204DE"/>
    <w:rsid w:val="00D20677"/>
    <w:rsid w:val="00D20699"/>
    <w:rsid w:val="00D20983"/>
    <w:rsid w:val="00D209D5"/>
    <w:rsid w:val="00D20A51"/>
    <w:rsid w:val="00D20BA3"/>
    <w:rsid w:val="00D20BC9"/>
    <w:rsid w:val="00D20C24"/>
    <w:rsid w:val="00D20E23"/>
    <w:rsid w:val="00D20F5E"/>
    <w:rsid w:val="00D21068"/>
    <w:rsid w:val="00D2132D"/>
    <w:rsid w:val="00D21395"/>
    <w:rsid w:val="00D219BC"/>
    <w:rsid w:val="00D21DDB"/>
    <w:rsid w:val="00D228FE"/>
    <w:rsid w:val="00D22EB1"/>
    <w:rsid w:val="00D22F32"/>
    <w:rsid w:val="00D2311E"/>
    <w:rsid w:val="00D234A1"/>
    <w:rsid w:val="00D2382B"/>
    <w:rsid w:val="00D23B76"/>
    <w:rsid w:val="00D23E47"/>
    <w:rsid w:val="00D23E78"/>
    <w:rsid w:val="00D241AF"/>
    <w:rsid w:val="00D241D2"/>
    <w:rsid w:val="00D244A8"/>
    <w:rsid w:val="00D2485B"/>
    <w:rsid w:val="00D24B4A"/>
    <w:rsid w:val="00D24B4C"/>
    <w:rsid w:val="00D24BA2"/>
    <w:rsid w:val="00D25100"/>
    <w:rsid w:val="00D25FD2"/>
    <w:rsid w:val="00D260CF"/>
    <w:rsid w:val="00D260F5"/>
    <w:rsid w:val="00D261F7"/>
    <w:rsid w:val="00D2647B"/>
    <w:rsid w:val="00D26788"/>
    <w:rsid w:val="00D26CB9"/>
    <w:rsid w:val="00D26D7B"/>
    <w:rsid w:val="00D2725F"/>
    <w:rsid w:val="00D27626"/>
    <w:rsid w:val="00D2797C"/>
    <w:rsid w:val="00D27BBB"/>
    <w:rsid w:val="00D27FD7"/>
    <w:rsid w:val="00D301BF"/>
    <w:rsid w:val="00D304D2"/>
    <w:rsid w:val="00D30CE9"/>
    <w:rsid w:val="00D30F1D"/>
    <w:rsid w:val="00D3101A"/>
    <w:rsid w:val="00D3105F"/>
    <w:rsid w:val="00D317E7"/>
    <w:rsid w:val="00D31928"/>
    <w:rsid w:val="00D31A5F"/>
    <w:rsid w:val="00D31C40"/>
    <w:rsid w:val="00D31F83"/>
    <w:rsid w:val="00D32171"/>
    <w:rsid w:val="00D32393"/>
    <w:rsid w:val="00D32955"/>
    <w:rsid w:val="00D32F45"/>
    <w:rsid w:val="00D330B4"/>
    <w:rsid w:val="00D332D1"/>
    <w:rsid w:val="00D334EA"/>
    <w:rsid w:val="00D33617"/>
    <w:rsid w:val="00D33BCE"/>
    <w:rsid w:val="00D33D29"/>
    <w:rsid w:val="00D33D42"/>
    <w:rsid w:val="00D3428C"/>
    <w:rsid w:val="00D347F1"/>
    <w:rsid w:val="00D3487E"/>
    <w:rsid w:val="00D349ED"/>
    <w:rsid w:val="00D34BAE"/>
    <w:rsid w:val="00D35845"/>
    <w:rsid w:val="00D35E4C"/>
    <w:rsid w:val="00D35F96"/>
    <w:rsid w:val="00D365F6"/>
    <w:rsid w:val="00D36941"/>
    <w:rsid w:val="00D3716D"/>
    <w:rsid w:val="00D379A3"/>
    <w:rsid w:val="00D37FF3"/>
    <w:rsid w:val="00D402DD"/>
    <w:rsid w:val="00D408E5"/>
    <w:rsid w:val="00D40961"/>
    <w:rsid w:val="00D40FC4"/>
    <w:rsid w:val="00D41613"/>
    <w:rsid w:val="00D416AB"/>
    <w:rsid w:val="00D417CB"/>
    <w:rsid w:val="00D417DC"/>
    <w:rsid w:val="00D41A7E"/>
    <w:rsid w:val="00D41CAA"/>
    <w:rsid w:val="00D41E7C"/>
    <w:rsid w:val="00D41F46"/>
    <w:rsid w:val="00D42154"/>
    <w:rsid w:val="00D42249"/>
    <w:rsid w:val="00D423D0"/>
    <w:rsid w:val="00D42910"/>
    <w:rsid w:val="00D42AD8"/>
    <w:rsid w:val="00D42C96"/>
    <w:rsid w:val="00D4322F"/>
    <w:rsid w:val="00D43418"/>
    <w:rsid w:val="00D436F1"/>
    <w:rsid w:val="00D438DB"/>
    <w:rsid w:val="00D4391E"/>
    <w:rsid w:val="00D43A52"/>
    <w:rsid w:val="00D43CE6"/>
    <w:rsid w:val="00D43E63"/>
    <w:rsid w:val="00D43ED5"/>
    <w:rsid w:val="00D43FD4"/>
    <w:rsid w:val="00D44263"/>
    <w:rsid w:val="00D443D9"/>
    <w:rsid w:val="00D444F5"/>
    <w:rsid w:val="00D44941"/>
    <w:rsid w:val="00D44A71"/>
    <w:rsid w:val="00D44F9E"/>
    <w:rsid w:val="00D44FE0"/>
    <w:rsid w:val="00D456FC"/>
    <w:rsid w:val="00D45AE4"/>
    <w:rsid w:val="00D45C56"/>
    <w:rsid w:val="00D45D1E"/>
    <w:rsid w:val="00D45FF3"/>
    <w:rsid w:val="00D465E4"/>
    <w:rsid w:val="00D46639"/>
    <w:rsid w:val="00D46762"/>
    <w:rsid w:val="00D469FC"/>
    <w:rsid w:val="00D46ED8"/>
    <w:rsid w:val="00D46FAE"/>
    <w:rsid w:val="00D47092"/>
    <w:rsid w:val="00D47C09"/>
    <w:rsid w:val="00D47D11"/>
    <w:rsid w:val="00D50097"/>
    <w:rsid w:val="00D50173"/>
    <w:rsid w:val="00D50549"/>
    <w:rsid w:val="00D5060B"/>
    <w:rsid w:val="00D50826"/>
    <w:rsid w:val="00D50DDD"/>
    <w:rsid w:val="00D51087"/>
    <w:rsid w:val="00D51269"/>
    <w:rsid w:val="00D512CF"/>
    <w:rsid w:val="00D514CF"/>
    <w:rsid w:val="00D51962"/>
    <w:rsid w:val="00D51BAB"/>
    <w:rsid w:val="00D51C21"/>
    <w:rsid w:val="00D51D08"/>
    <w:rsid w:val="00D51DA7"/>
    <w:rsid w:val="00D51F5A"/>
    <w:rsid w:val="00D5241F"/>
    <w:rsid w:val="00D52444"/>
    <w:rsid w:val="00D5272D"/>
    <w:rsid w:val="00D528B9"/>
    <w:rsid w:val="00D52AE3"/>
    <w:rsid w:val="00D52C56"/>
    <w:rsid w:val="00D52EB0"/>
    <w:rsid w:val="00D52F28"/>
    <w:rsid w:val="00D5305D"/>
    <w:rsid w:val="00D530D7"/>
    <w:rsid w:val="00D53102"/>
    <w:rsid w:val="00D53185"/>
    <w:rsid w:val="00D53186"/>
    <w:rsid w:val="00D53502"/>
    <w:rsid w:val="00D53516"/>
    <w:rsid w:val="00D53585"/>
    <w:rsid w:val="00D53810"/>
    <w:rsid w:val="00D539EB"/>
    <w:rsid w:val="00D53B3A"/>
    <w:rsid w:val="00D53DC2"/>
    <w:rsid w:val="00D54802"/>
    <w:rsid w:val="00D54842"/>
    <w:rsid w:val="00D5487D"/>
    <w:rsid w:val="00D548C8"/>
    <w:rsid w:val="00D549A1"/>
    <w:rsid w:val="00D54A72"/>
    <w:rsid w:val="00D550DF"/>
    <w:rsid w:val="00D5541E"/>
    <w:rsid w:val="00D55842"/>
    <w:rsid w:val="00D55F96"/>
    <w:rsid w:val="00D56273"/>
    <w:rsid w:val="00D5631E"/>
    <w:rsid w:val="00D56947"/>
    <w:rsid w:val="00D56983"/>
    <w:rsid w:val="00D5698F"/>
    <w:rsid w:val="00D56F8D"/>
    <w:rsid w:val="00D57340"/>
    <w:rsid w:val="00D573AA"/>
    <w:rsid w:val="00D574CC"/>
    <w:rsid w:val="00D5798E"/>
    <w:rsid w:val="00D57D81"/>
    <w:rsid w:val="00D57DDE"/>
    <w:rsid w:val="00D57E18"/>
    <w:rsid w:val="00D60140"/>
    <w:rsid w:val="00D6020B"/>
    <w:rsid w:val="00D6024A"/>
    <w:rsid w:val="00D602B7"/>
    <w:rsid w:val="00D60543"/>
    <w:rsid w:val="00D6059E"/>
    <w:rsid w:val="00D608B5"/>
    <w:rsid w:val="00D60C49"/>
    <w:rsid w:val="00D60E17"/>
    <w:rsid w:val="00D61136"/>
    <w:rsid w:val="00D618C3"/>
    <w:rsid w:val="00D61963"/>
    <w:rsid w:val="00D61B6E"/>
    <w:rsid w:val="00D6230E"/>
    <w:rsid w:val="00D628B1"/>
    <w:rsid w:val="00D62B63"/>
    <w:rsid w:val="00D62D89"/>
    <w:rsid w:val="00D63407"/>
    <w:rsid w:val="00D635B4"/>
    <w:rsid w:val="00D63673"/>
    <w:rsid w:val="00D63C43"/>
    <w:rsid w:val="00D63CA4"/>
    <w:rsid w:val="00D63DAD"/>
    <w:rsid w:val="00D63F24"/>
    <w:rsid w:val="00D64096"/>
    <w:rsid w:val="00D64276"/>
    <w:rsid w:val="00D6471D"/>
    <w:rsid w:val="00D64739"/>
    <w:rsid w:val="00D64B64"/>
    <w:rsid w:val="00D65139"/>
    <w:rsid w:val="00D65161"/>
    <w:rsid w:val="00D65187"/>
    <w:rsid w:val="00D6536E"/>
    <w:rsid w:val="00D65548"/>
    <w:rsid w:val="00D657A9"/>
    <w:rsid w:val="00D659F3"/>
    <w:rsid w:val="00D65A7A"/>
    <w:rsid w:val="00D65C35"/>
    <w:rsid w:val="00D65EFB"/>
    <w:rsid w:val="00D66204"/>
    <w:rsid w:val="00D66673"/>
    <w:rsid w:val="00D668C5"/>
    <w:rsid w:val="00D66F32"/>
    <w:rsid w:val="00D67543"/>
    <w:rsid w:val="00D6770C"/>
    <w:rsid w:val="00D67ABB"/>
    <w:rsid w:val="00D70325"/>
    <w:rsid w:val="00D70C8A"/>
    <w:rsid w:val="00D70EA7"/>
    <w:rsid w:val="00D7105B"/>
    <w:rsid w:val="00D7115D"/>
    <w:rsid w:val="00D711F0"/>
    <w:rsid w:val="00D71A20"/>
    <w:rsid w:val="00D71BA6"/>
    <w:rsid w:val="00D71F99"/>
    <w:rsid w:val="00D72027"/>
    <w:rsid w:val="00D72234"/>
    <w:rsid w:val="00D724D7"/>
    <w:rsid w:val="00D72613"/>
    <w:rsid w:val="00D72A90"/>
    <w:rsid w:val="00D72B7A"/>
    <w:rsid w:val="00D72C3C"/>
    <w:rsid w:val="00D72EC3"/>
    <w:rsid w:val="00D72F1C"/>
    <w:rsid w:val="00D72FD1"/>
    <w:rsid w:val="00D730A9"/>
    <w:rsid w:val="00D730C0"/>
    <w:rsid w:val="00D733F5"/>
    <w:rsid w:val="00D73457"/>
    <w:rsid w:val="00D73C34"/>
    <w:rsid w:val="00D73CA4"/>
    <w:rsid w:val="00D73D71"/>
    <w:rsid w:val="00D73E24"/>
    <w:rsid w:val="00D74019"/>
    <w:rsid w:val="00D74396"/>
    <w:rsid w:val="00D748F6"/>
    <w:rsid w:val="00D74BD0"/>
    <w:rsid w:val="00D74BF8"/>
    <w:rsid w:val="00D74C14"/>
    <w:rsid w:val="00D7519C"/>
    <w:rsid w:val="00D7562C"/>
    <w:rsid w:val="00D75705"/>
    <w:rsid w:val="00D7594A"/>
    <w:rsid w:val="00D75E6F"/>
    <w:rsid w:val="00D761AF"/>
    <w:rsid w:val="00D76248"/>
    <w:rsid w:val="00D76414"/>
    <w:rsid w:val="00D76648"/>
    <w:rsid w:val="00D7676D"/>
    <w:rsid w:val="00D7683D"/>
    <w:rsid w:val="00D76864"/>
    <w:rsid w:val="00D768C3"/>
    <w:rsid w:val="00D76D4B"/>
    <w:rsid w:val="00D76DF2"/>
    <w:rsid w:val="00D76E6E"/>
    <w:rsid w:val="00D77071"/>
    <w:rsid w:val="00D77102"/>
    <w:rsid w:val="00D773CF"/>
    <w:rsid w:val="00D779B6"/>
    <w:rsid w:val="00D77CF9"/>
    <w:rsid w:val="00D77FB1"/>
    <w:rsid w:val="00D80284"/>
    <w:rsid w:val="00D8049F"/>
    <w:rsid w:val="00D806A9"/>
    <w:rsid w:val="00D8084B"/>
    <w:rsid w:val="00D80FF6"/>
    <w:rsid w:val="00D81291"/>
    <w:rsid w:val="00D8146D"/>
    <w:rsid w:val="00D8153D"/>
    <w:rsid w:val="00D81A9B"/>
    <w:rsid w:val="00D81C11"/>
    <w:rsid w:val="00D81C5E"/>
    <w:rsid w:val="00D81F71"/>
    <w:rsid w:val="00D8215D"/>
    <w:rsid w:val="00D82173"/>
    <w:rsid w:val="00D82365"/>
    <w:rsid w:val="00D82959"/>
    <w:rsid w:val="00D82AFD"/>
    <w:rsid w:val="00D82B59"/>
    <w:rsid w:val="00D832A0"/>
    <w:rsid w:val="00D834F7"/>
    <w:rsid w:val="00D83620"/>
    <w:rsid w:val="00D83890"/>
    <w:rsid w:val="00D838ED"/>
    <w:rsid w:val="00D83E8C"/>
    <w:rsid w:val="00D8466F"/>
    <w:rsid w:val="00D84939"/>
    <w:rsid w:val="00D84AF0"/>
    <w:rsid w:val="00D852F0"/>
    <w:rsid w:val="00D8538F"/>
    <w:rsid w:val="00D85AE9"/>
    <w:rsid w:val="00D85BCE"/>
    <w:rsid w:val="00D85C66"/>
    <w:rsid w:val="00D861DC"/>
    <w:rsid w:val="00D8642D"/>
    <w:rsid w:val="00D866C7"/>
    <w:rsid w:val="00D87035"/>
    <w:rsid w:val="00D8726B"/>
    <w:rsid w:val="00D8743A"/>
    <w:rsid w:val="00D8772C"/>
    <w:rsid w:val="00D87AAA"/>
    <w:rsid w:val="00D90336"/>
    <w:rsid w:val="00D90396"/>
    <w:rsid w:val="00D90959"/>
    <w:rsid w:val="00D90A5E"/>
    <w:rsid w:val="00D90AB7"/>
    <w:rsid w:val="00D90D67"/>
    <w:rsid w:val="00D90E52"/>
    <w:rsid w:val="00D91178"/>
    <w:rsid w:val="00D911B6"/>
    <w:rsid w:val="00D912D6"/>
    <w:rsid w:val="00D91A68"/>
    <w:rsid w:val="00D92011"/>
    <w:rsid w:val="00D922CF"/>
    <w:rsid w:val="00D92364"/>
    <w:rsid w:val="00D9237C"/>
    <w:rsid w:val="00D92651"/>
    <w:rsid w:val="00D92A1D"/>
    <w:rsid w:val="00D92B62"/>
    <w:rsid w:val="00D9350B"/>
    <w:rsid w:val="00D936F1"/>
    <w:rsid w:val="00D938ED"/>
    <w:rsid w:val="00D93C4A"/>
    <w:rsid w:val="00D93D77"/>
    <w:rsid w:val="00D94030"/>
    <w:rsid w:val="00D94442"/>
    <w:rsid w:val="00D947C9"/>
    <w:rsid w:val="00D949A5"/>
    <w:rsid w:val="00D94BE6"/>
    <w:rsid w:val="00D94F80"/>
    <w:rsid w:val="00D94F94"/>
    <w:rsid w:val="00D950F6"/>
    <w:rsid w:val="00D952D2"/>
    <w:rsid w:val="00D9536A"/>
    <w:rsid w:val="00D959FC"/>
    <w:rsid w:val="00D95A68"/>
    <w:rsid w:val="00D95B8F"/>
    <w:rsid w:val="00D95C38"/>
    <w:rsid w:val="00D960CF"/>
    <w:rsid w:val="00D961CE"/>
    <w:rsid w:val="00D965FA"/>
    <w:rsid w:val="00D96851"/>
    <w:rsid w:val="00D96CCD"/>
    <w:rsid w:val="00D96D64"/>
    <w:rsid w:val="00D96E21"/>
    <w:rsid w:val="00D97834"/>
    <w:rsid w:val="00D97E77"/>
    <w:rsid w:val="00DA0046"/>
    <w:rsid w:val="00DA02CB"/>
    <w:rsid w:val="00DA0416"/>
    <w:rsid w:val="00DA04D3"/>
    <w:rsid w:val="00DA050C"/>
    <w:rsid w:val="00DA055C"/>
    <w:rsid w:val="00DA0988"/>
    <w:rsid w:val="00DA0B15"/>
    <w:rsid w:val="00DA0C3D"/>
    <w:rsid w:val="00DA0EF0"/>
    <w:rsid w:val="00DA17C7"/>
    <w:rsid w:val="00DA1B1F"/>
    <w:rsid w:val="00DA1B49"/>
    <w:rsid w:val="00DA1B53"/>
    <w:rsid w:val="00DA1DA5"/>
    <w:rsid w:val="00DA1E41"/>
    <w:rsid w:val="00DA2084"/>
    <w:rsid w:val="00DA2233"/>
    <w:rsid w:val="00DA22FE"/>
    <w:rsid w:val="00DA2350"/>
    <w:rsid w:val="00DA23E8"/>
    <w:rsid w:val="00DA243D"/>
    <w:rsid w:val="00DA2DB7"/>
    <w:rsid w:val="00DA31FC"/>
    <w:rsid w:val="00DA32D6"/>
    <w:rsid w:val="00DA3349"/>
    <w:rsid w:val="00DA342A"/>
    <w:rsid w:val="00DA3D2C"/>
    <w:rsid w:val="00DA3DAD"/>
    <w:rsid w:val="00DA41B3"/>
    <w:rsid w:val="00DA421D"/>
    <w:rsid w:val="00DA468A"/>
    <w:rsid w:val="00DA4AE2"/>
    <w:rsid w:val="00DA4FB7"/>
    <w:rsid w:val="00DA5024"/>
    <w:rsid w:val="00DA5467"/>
    <w:rsid w:val="00DA58C5"/>
    <w:rsid w:val="00DA5D58"/>
    <w:rsid w:val="00DA6082"/>
    <w:rsid w:val="00DA610A"/>
    <w:rsid w:val="00DA6271"/>
    <w:rsid w:val="00DA62A3"/>
    <w:rsid w:val="00DA6307"/>
    <w:rsid w:val="00DA6439"/>
    <w:rsid w:val="00DA6473"/>
    <w:rsid w:val="00DA6620"/>
    <w:rsid w:val="00DA6A9A"/>
    <w:rsid w:val="00DA71AA"/>
    <w:rsid w:val="00DA7534"/>
    <w:rsid w:val="00DA7861"/>
    <w:rsid w:val="00DA78B9"/>
    <w:rsid w:val="00DA7E44"/>
    <w:rsid w:val="00DB0077"/>
    <w:rsid w:val="00DB0529"/>
    <w:rsid w:val="00DB0741"/>
    <w:rsid w:val="00DB0BB7"/>
    <w:rsid w:val="00DB0C4A"/>
    <w:rsid w:val="00DB0C64"/>
    <w:rsid w:val="00DB0E9E"/>
    <w:rsid w:val="00DB11A6"/>
    <w:rsid w:val="00DB1316"/>
    <w:rsid w:val="00DB1338"/>
    <w:rsid w:val="00DB1A1E"/>
    <w:rsid w:val="00DB1AB0"/>
    <w:rsid w:val="00DB1EFD"/>
    <w:rsid w:val="00DB1F39"/>
    <w:rsid w:val="00DB2166"/>
    <w:rsid w:val="00DB2236"/>
    <w:rsid w:val="00DB264F"/>
    <w:rsid w:val="00DB275B"/>
    <w:rsid w:val="00DB278D"/>
    <w:rsid w:val="00DB2965"/>
    <w:rsid w:val="00DB29B9"/>
    <w:rsid w:val="00DB2C91"/>
    <w:rsid w:val="00DB2E6C"/>
    <w:rsid w:val="00DB3052"/>
    <w:rsid w:val="00DB3A2C"/>
    <w:rsid w:val="00DB3DB4"/>
    <w:rsid w:val="00DB3EAF"/>
    <w:rsid w:val="00DB4349"/>
    <w:rsid w:val="00DB46C6"/>
    <w:rsid w:val="00DB4B2B"/>
    <w:rsid w:val="00DB4CBE"/>
    <w:rsid w:val="00DB4DDF"/>
    <w:rsid w:val="00DB4EBB"/>
    <w:rsid w:val="00DB5550"/>
    <w:rsid w:val="00DB5580"/>
    <w:rsid w:val="00DB55E6"/>
    <w:rsid w:val="00DB5670"/>
    <w:rsid w:val="00DB5998"/>
    <w:rsid w:val="00DB5D38"/>
    <w:rsid w:val="00DB5D8D"/>
    <w:rsid w:val="00DB5F93"/>
    <w:rsid w:val="00DB6121"/>
    <w:rsid w:val="00DB61CC"/>
    <w:rsid w:val="00DB6518"/>
    <w:rsid w:val="00DB6898"/>
    <w:rsid w:val="00DB6A26"/>
    <w:rsid w:val="00DB6B8C"/>
    <w:rsid w:val="00DB6D93"/>
    <w:rsid w:val="00DB70C6"/>
    <w:rsid w:val="00DB7134"/>
    <w:rsid w:val="00DB7ABE"/>
    <w:rsid w:val="00DB7BE2"/>
    <w:rsid w:val="00DB7EF6"/>
    <w:rsid w:val="00DB7EFA"/>
    <w:rsid w:val="00DC0B4D"/>
    <w:rsid w:val="00DC0CFF"/>
    <w:rsid w:val="00DC0D06"/>
    <w:rsid w:val="00DC0E33"/>
    <w:rsid w:val="00DC0E38"/>
    <w:rsid w:val="00DC0EA2"/>
    <w:rsid w:val="00DC0F96"/>
    <w:rsid w:val="00DC1003"/>
    <w:rsid w:val="00DC143B"/>
    <w:rsid w:val="00DC1596"/>
    <w:rsid w:val="00DC1959"/>
    <w:rsid w:val="00DC1A60"/>
    <w:rsid w:val="00DC1B3E"/>
    <w:rsid w:val="00DC1C73"/>
    <w:rsid w:val="00DC254D"/>
    <w:rsid w:val="00DC25E0"/>
    <w:rsid w:val="00DC26CC"/>
    <w:rsid w:val="00DC26E9"/>
    <w:rsid w:val="00DC2DCE"/>
    <w:rsid w:val="00DC3203"/>
    <w:rsid w:val="00DC35FB"/>
    <w:rsid w:val="00DC384A"/>
    <w:rsid w:val="00DC3A62"/>
    <w:rsid w:val="00DC3C99"/>
    <w:rsid w:val="00DC3EB7"/>
    <w:rsid w:val="00DC3EF5"/>
    <w:rsid w:val="00DC4436"/>
    <w:rsid w:val="00DC4CBD"/>
    <w:rsid w:val="00DC4FBA"/>
    <w:rsid w:val="00DC5070"/>
    <w:rsid w:val="00DC50B8"/>
    <w:rsid w:val="00DC52F5"/>
    <w:rsid w:val="00DC53D0"/>
    <w:rsid w:val="00DC55CF"/>
    <w:rsid w:val="00DC5760"/>
    <w:rsid w:val="00DC57FA"/>
    <w:rsid w:val="00DC585E"/>
    <w:rsid w:val="00DC58EF"/>
    <w:rsid w:val="00DC5F97"/>
    <w:rsid w:val="00DC5FD0"/>
    <w:rsid w:val="00DC6000"/>
    <w:rsid w:val="00DC6003"/>
    <w:rsid w:val="00DC6006"/>
    <w:rsid w:val="00DC65CD"/>
    <w:rsid w:val="00DC682C"/>
    <w:rsid w:val="00DC6967"/>
    <w:rsid w:val="00DC769B"/>
    <w:rsid w:val="00DC770A"/>
    <w:rsid w:val="00DC79B6"/>
    <w:rsid w:val="00DC7A53"/>
    <w:rsid w:val="00DC7BF5"/>
    <w:rsid w:val="00DC7EB8"/>
    <w:rsid w:val="00DC7F3B"/>
    <w:rsid w:val="00DD0354"/>
    <w:rsid w:val="00DD038D"/>
    <w:rsid w:val="00DD03C7"/>
    <w:rsid w:val="00DD0692"/>
    <w:rsid w:val="00DD0A9C"/>
    <w:rsid w:val="00DD0CDE"/>
    <w:rsid w:val="00DD0DEE"/>
    <w:rsid w:val="00DD1377"/>
    <w:rsid w:val="00DD13C7"/>
    <w:rsid w:val="00DD1705"/>
    <w:rsid w:val="00DD183E"/>
    <w:rsid w:val="00DD1878"/>
    <w:rsid w:val="00DD1996"/>
    <w:rsid w:val="00DD1C25"/>
    <w:rsid w:val="00DD20B3"/>
    <w:rsid w:val="00DD21BD"/>
    <w:rsid w:val="00DD27D7"/>
    <w:rsid w:val="00DD2953"/>
    <w:rsid w:val="00DD295F"/>
    <w:rsid w:val="00DD2CD2"/>
    <w:rsid w:val="00DD2D7A"/>
    <w:rsid w:val="00DD31A5"/>
    <w:rsid w:val="00DD3B37"/>
    <w:rsid w:val="00DD3DBD"/>
    <w:rsid w:val="00DD447A"/>
    <w:rsid w:val="00DD458C"/>
    <w:rsid w:val="00DD45C7"/>
    <w:rsid w:val="00DD484E"/>
    <w:rsid w:val="00DD4EE4"/>
    <w:rsid w:val="00DD5283"/>
    <w:rsid w:val="00DD5362"/>
    <w:rsid w:val="00DD5363"/>
    <w:rsid w:val="00DD56E3"/>
    <w:rsid w:val="00DD58BC"/>
    <w:rsid w:val="00DD5956"/>
    <w:rsid w:val="00DD59DE"/>
    <w:rsid w:val="00DD5AED"/>
    <w:rsid w:val="00DD5BAD"/>
    <w:rsid w:val="00DD5E36"/>
    <w:rsid w:val="00DD6290"/>
    <w:rsid w:val="00DD6A61"/>
    <w:rsid w:val="00DD6E4F"/>
    <w:rsid w:val="00DD7096"/>
    <w:rsid w:val="00DD7137"/>
    <w:rsid w:val="00DD727A"/>
    <w:rsid w:val="00DD72CF"/>
    <w:rsid w:val="00DD72E9"/>
    <w:rsid w:val="00DD7303"/>
    <w:rsid w:val="00DD735E"/>
    <w:rsid w:val="00DD7605"/>
    <w:rsid w:val="00DD76CF"/>
    <w:rsid w:val="00DD7B18"/>
    <w:rsid w:val="00DD7F3E"/>
    <w:rsid w:val="00DE0145"/>
    <w:rsid w:val="00DE016C"/>
    <w:rsid w:val="00DE0193"/>
    <w:rsid w:val="00DE01FB"/>
    <w:rsid w:val="00DE0274"/>
    <w:rsid w:val="00DE02EC"/>
    <w:rsid w:val="00DE051C"/>
    <w:rsid w:val="00DE137F"/>
    <w:rsid w:val="00DE17C5"/>
    <w:rsid w:val="00DE2020"/>
    <w:rsid w:val="00DE205B"/>
    <w:rsid w:val="00DE2304"/>
    <w:rsid w:val="00DE2394"/>
    <w:rsid w:val="00DE2C3A"/>
    <w:rsid w:val="00DE31B2"/>
    <w:rsid w:val="00DE335B"/>
    <w:rsid w:val="00DE3476"/>
    <w:rsid w:val="00DE39F0"/>
    <w:rsid w:val="00DE3AF1"/>
    <w:rsid w:val="00DE402A"/>
    <w:rsid w:val="00DE405F"/>
    <w:rsid w:val="00DE4712"/>
    <w:rsid w:val="00DE475B"/>
    <w:rsid w:val="00DE4848"/>
    <w:rsid w:val="00DE4EE9"/>
    <w:rsid w:val="00DE52D8"/>
    <w:rsid w:val="00DE5425"/>
    <w:rsid w:val="00DE567E"/>
    <w:rsid w:val="00DE56B7"/>
    <w:rsid w:val="00DE570D"/>
    <w:rsid w:val="00DE5840"/>
    <w:rsid w:val="00DE6246"/>
    <w:rsid w:val="00DE6472"/>
    <w:rsid w:val="00DE65D5"/>
    <w:rsid w:val="00DE65EA"/>
    <w:rsid w:val="00DE66B4"/>
    <w:rsid w:val="00DE6735"/>
    <w:rsid w:val="00DE6B2C"/>
    <w:rsid w:val="00DE6FB2"/>
    <w:rsid w:val="00DE73F5"/>
    <w:rsid w:val="00DE7B53"/>
    <w:rsid w:val="00DE7BEA"/>
    <w:rsid w:val="00DE7C12"/>
    <w:rsid w:val="00DE7C70"/>
    <w:rsid w:val="00DE7CC7"/>
    <w:rsid w:val="00DF052A"/>
    <w:rsid w:val="00DF05B4"/>
    <w:rsid w:val="00DF08FE"/>
    <w:rsid w:val="00DF0BBD"/>
    <w:rsid w:val="00DF0BDF"/>
    <w:rsid w:val="00DF0D86"/>
    <w:rsid w:val="00DF17F2"/>
    <w:rsid w:val="00DF1CE5"/>
    <w:rsid w:val="00DF1E94"/>
    <w:rsid w:val="00DF1FC1"/>
    <w:rsid w:val="00DF2411"/>
    <w:rsid w:val="00DF2598"/>
    <w:rsid w:val="00DF2723"/>
    <w:rsid w:val="00DF27CE"/>
    <w:rsid w:val="00DF363A"/>
    <w:rsid w:val="00DF3807"/>
    <w:rsid w:val="00DF3D56"/>
    <w:rsid w:val="00DF3F40"/>
    <w:rsid w:val="00DF4047"/>
    <w:rsid w:val="00DF4272"/>
    <w:rsid w:val="00DF42D8"/>
    <w:rsid w:val="00DF446A"/>
    <w:rsid w:val="00DF47D9"/>
    <w:rsid w:val="00DF4924"/>
    <w:rsid w:val="00DF4A92"/>
    <w:rsid w:val="00DF4BB3"/>
    <w:rsid w:val="00DF4C0B"/>
    <w:rsid w:val="00DF4D35"/>
    <w:rsid w:val="00DF4EC5"/>
    <w:rsid w:val="00DF517B"/>
    <w:rsid w:val="00DF530F"/>
    <w:rsid w:val="00DF573F"/>
    <w:rsid w:val="00DF597B"/>
    <w:rsid w:val="00DF59F9"/>
    <w:rsid w:val="00DF5ABF"/>
    <w:rsid w:val="00DF5B84"/>
    <w:rsid w:val="00DF5DF2"/>
    <w:rsid w:val="00DF6008"/>
    <w:rsid w:val="00DF6340"/>
    <w:rsid w:val="00DF65DE"/>
    <w:rsid w:val="00DF6721"/>
    <w:rsid w:val="00DF6877"/>
    <w:rsid w:val="00DF68F0"/>
    <w:rsid w:val="00DF694C"/>
    <w:rsid w:val="00DF6A8E"/>
    <w:rsid w:val="00DF6AA4"/>
    <w:rsid w:val="00DF6B42"/>
    <w:rsid w:val="00DF6D5B"/>
    <w:rsid w:val="00DF6D77"/>
    <w:rsid w:val="00DF707F"/>
    <w:rsid w:val="00DF74EA"/>
    <w:rsid w:val="00DF771B"/>
    <w:rsid w:val="00DF7919"/>
    <w:rsid w:val="00DF7D06"/>
    <w:rsid w:val="00DF7DCD"/>
    <w:rsid w:val="00DF7EDE"/>
    <w:rsid w:val="00DF7EE2"/>
    <w:rsid w:val="00DF7EF4"/>
    <w:rsid w:val="00E00351"/>
    <w:rsid w:val="00E005BB"/>
    <w:rsid w:val="00E00734"/>
    <w:rsid w:val="00E00970"/>
    <w:rsid w:val="00E00FFC"/>
    <w:rsid w:val="00E015F9"/>
    <w:rsid w:val="00E016B8"/>
    <w:rsid w:val="00E01A48"/>
    <w:rsid w:val="00E01AB7"/>
    <w:rsid w:val="00E01BAA"/>
    <w:rsid w:val="00E0208B"/>
    <w:rsid w:val="00E0248A"/>
    <w:rsid w:val="00E0265B"/>
    <w:rsid w:val="00E0282A"/>
    <w:rsid w:val="00E02F9B"/>
    <w:rsid w:val="00E02FFB"/>
    <w:rsid w:val="00E033DC"/>
    <w:rsid w:val="00E035B6"/>
    <w:rsid w:val="00E03809"/>
    <w:rsid w:val="00E0381D"/>
    <w:rsid w:val="00E03A23"/>
    <w:rsid w:val="00E03A93"/>
    <w:rsid w:val="00E04253"/>
    <w:rsid w:val="00E04810"/>
    <w:rsid w:val="00E04920"/>
    <w:rsid w:val="00E04BA0"/>
    <w:rsid w:val="00E052A9"/>
    <w:rsid w:val="00E05947"/>
    <w:rsid w:val="00E0599A"/>
    <w:rsid w:val="00E05DB6"/>
    <w:rsid w:val="00E060EC"/>
    <w:rsid w:val="00E061EA"/>
    <w:rsid w:val="00E061FE"/>
    <w:rsid w:val="00E0684B"/>
    <w:rsid w:val="00E06860"/>
    <w:rsid w:val="00E069A8"/>
    <w:rsid w:val="00E06AD0"/>
    <w:rsid w:val="00E06DD5"/>
    <w:rsid w:val="00E06DFB"/>
    <w:rsid w:val="00E06F65"/>
    <w:rsid w:val="00E07C22"/>
    <w:rsid w:val="00E07CEA"/>
    <w:rsid w:val="00E07E14"/>
    <w:rsid w:val="00E07FB6"/>
    <w:rsid w:val="00E10F70"/>
    <w:rsid w:val="00E116E8"/>
    <w:rsid w:val="00E11973"/>
    <w:rsid w:val="00E11D1C"/>
    <w:rsid w:val="00E11E42"/>
    <w:rsid w:val="00E11FA2"/>
    <w:rsid w:val="00E120A1"/>
    <w:rsid w:val="00E12143"/>
    <w:rsid w:val="00E121D4"/>
    <w:rsid w:val="00E122AB"/>
    <w:rsid w:val="00E123D1"/>
    <w:rsid w:val="00E124A7"/>
    <w:rsid w:val="00E124E7"/>
    <w:rsid w:val="00E129E4"/>
    <w:rsid w:val="00E12C2D"/>
    <w:rsid w:val="00E12CDB"/>
    <w:rsid w:val="00E12CF8"/>
    <w:rsid w:val="00E12E0F"/>
    <w:rsid w:val="00E131F8"/>
    <w:rsid w:val="00E1373F"/>
    <w:rsid w:val="00E13B87"/>
    <w:rsid w:val="00E13D1C"/>
    <w:rsid w:val="00E1409C"/>
    <w:rsid w:val="00E141C2"/>
    <w:rsid w:val="00E14293"/>
    <w:rsid w:val="00E14590"/>
    <w:rsid w:val="00E14ABB"/>
    <w:rsid w:val="00E14BB6"/>
    <w:rsid w:val="00E14ED0"/>
    <w:rsid w:val="00E14F94"/>
    <w:rsid w:val="00E14F96"/>
    <w:rsid w:val="00E15028"/>
    <w:rsid w:val="00E1506C"/>
    <w:rsid w:val="00E151A9"/>
    <w:rsid w:val="00E152EF"/>
    <w:rsid w:val="00E155FB"/>
    <w:rsid w:val="00E15BCE"/>
    <w:rsid w:val="00E1630D"/>
    <w:rsid w:val="00E16413"/>
    <w:rsid w:val="00E1651F"/>
    <w:rsid w:val="00E165CE"/>
    <w:rsid w:val="00E166B4"/>
    <w:rsid w:val="00E16A6B"/>
    <w:rsid w:val="00E16CB6"/>
    <w:rsid w:val="00E16D44"/>
    <w:rsid w:val="00E17150"/>
    <w:rsid w:val="00E17336"/>
    <w:rsid w:val="00E17445"/>
    <w:rsid w:val="00E178F7"/>
    <w:rsid w:val="00E17BF4"/>
    <w:rsid w:val="00E17D15"/>
    <w:rsid w:val="00E17D8F"/>
    <w:rsid w:val="00E17DF2"/>
    <w:rsid w:val="00E20068"/>
    <w:rsid w:val="00E201FD"/>
    <w:rsid w:val="00E2069B"/>
    <w:rsid w:val="00E20915"/>
    <w:rsid w:val="00E209EE"/>
    <w:rsid w:val="00E20C33"/>
    <w:rsid w:val="00E20CD6"/>
    <w:rsid w:val="00E20D4C"/>
    <w:rsid w:val="00E20FD4"/>
    <w:rsid w:val="00E213AC"/>
    <w:rsid w:val="00E21695"/>
    <w:rsid w:val="00E21B7C"/>
    <w:rsid w:val="00E21D3D"/>
    <w:rsid w:val="00E21DCB"/>
    <w:rsid w:val="00E2236D"/>
    <w:rsid w:val="00E2256D"/>
    <w:rsid w:val="00E2262A"/>
    <w:rsid w:val="00E22AFD"/>
    <w:rsid w:val="00E22B95"/>
    <w:rsid w:val="00E232C8"/>
    <w:rsid w:val="00E23599"/>
    <w:rsid w:val="00E237A2"/>
    <w:rsid w:val="00E239D2"/>
    <w:rsid w:val="00E23AC9"/>
    <w:rsid w:val="00E23B08"/>
    <w:rsid w:val="00E23CFB"/>
    <w:rsid w:val="00E23E61"/>
    <w:rsid w:val="00E2405F"/>
    <w:rsid w:val="00E24160"/>
    <w:rsid w:val="00E2440E"/>
    <w:rsid w:val="00E24792"/>
    <w:rsid w:val="00E248F5"/>
    <w:rsid w:val="00E24FF0"/>
    <w:rsid w:val="00E25477"/>
    <w:rsid w:val="00E2553C"/>
    <w:rsid w:val="00E25DAA"/>
    <w:rsid w:val="00E25E30"/>
    <w:rsid w:val="00E25EEA"/>
    <w:rsid w:val="00E2609D"/>
    <w:rsid w:val="00E26103"/>
    <w:rsid w:val="00E26172"/>
    <w:rsid w:val="00E262CA"/>
    <w:rsid w:val="00E266D5"/>
    <w:rsid w:val="00E26752"/>
    <w:rsid w:val="00E26781"/>
    <w:rsid w:val="00E2683D"/>
    <w:rsid w:val="00E268D0"/>
    <w:rsid w:val="00E26D49"/>
    <w:rsid w:val="00E26F7F"/>
    <w:rsid w:val="00E270E1"/>
    <w:rsid w:val="00E2726F"/>
    <w:rsid w:val="00E273FD"/>
    <w:rsid w:val="00E2743E"/>
    <w:rsid w:val="00E274CC"/>
    <w:rsid w:val="00E27639"/>
    <w:rsid w:val="00E27A16"/>
    <w:rsid w:val="00E27BAE"/>
    <w:rsid w:val="00E27D2F"/>
    <w:rsid w:val="00E27FA4"/>
    <w:rsid w:val="00E30068"/>
    <w:rsid w:val="00E3007F"/>
    <w:rsid w:val="00E3021E"/>
    <w:rsid w:val="00E30331"/>
    <w:rsid w:val="00E307AB"/>
    <w:rsid w:val="00E30BB8"/>
    <w:rsid w:val="00E30D3F"/>
    <w:rsid w:val="00E30FCC"/>
    <w:rsid w:val="00E31089"/>
    <w:rsid w:val="00E312BA"/>
    <w:rsid w:val="00E31334"/>
    <w:rsid w:val="00E313F9"/>
    <w:rsid w:val="00E3173F"/>
    <w:rsid w:val="00E31B46"/>
    <w:rsid w:val="00E31F85"/>
    <w:rsid w:val="00E31F9C"/>
    <w:rsid w:val="00E322A0"/>
    <w:rsid w:val="00E323C8"/>
    <w:rsid w:val="00E3269C"/>
    <w:rsid w:val="00E32936"/>
    <w:rsid w:val="00E32FA4"/>
    <w:rsid w:val="00E335F3"/>
    <w:rsid w:val="00E33606"/>
    <w:rsid w:val="00E338E0"/>
    <w:rsid w:val="00E33E9F"/>
    <w:rsid w:val="00E3407D"/>
    <w:rsid w:val="00E34120"/>
    <w:rsid w:val="00E3415E"/>
    <w:rsid w:val="00E34738"/>
    <w:rsid w:val="00E347DA"/>
    <w:rsid w:val="00E3484A"/>
    <w:rsid w:val="00E34BF9"/>
    <w:rsid w:val="00E34C9E"/>
    <w:rsid w:val="00E34E0C"/>
    <w:rsid w:val="00E34FC5"/>
    <w:rsid w:val="00E34FCE"/>
    <w:rsid w:val="00E35004"/>
    <w:rsid w:val="00E352A3"/>
    <w:rsid w:val="00E3530A"/>
    <w:rsid w:val="00E35855"/>
    <w:rsid w:val="00E35AD9"/>
    <w:rsid w:val="00E35B4D"/>
    <w:rsid w:val="00E369B5"/>
    <w:rsid w:val="00E36F5D"/>
    <w:rsid w:val="00E37324"/>
    <w:rsid w:val="00E377D2"/>
    <w:rsid w:val="00E37AC4"/>
    <w:rsid w:val="00E37D24"/>
    <w:rsid w:val="00E37EE7"/>
    <w:rsid w:val="00E40434"/>
    <w:rsid w:val="00E40488"/>
    <w:rsid w:val="00E40605"/>
    <w:rsid w:val="00E4064C"/>
    <w:rsid w:val="00E406CA"/>
    <w:rsid w:val="00E40948"/>
    <w:rsid w:val="00E40CD1"/>
    <w:rsid w:val="00E41621"/>
    <w:rsid w:val="00E41636"/>
    <w:rsid w:val="00E41758"/>
    <w:rsid w:val="00E42018"/>
    <w:rsid w:val="00E421CB"/>
    <w:rsid w:val="00E4273F"/>
    <w:rsid w:val="00E42760"/>
    <w:rsid w:val="00E428F9"/>
    <w:rsid w:val="00E43FC6"/>
    <w:rsid w:val="00E43FF0"/>
    <w:rsid w:val="00E44053"/>
    <w:rsid w:val="00E44591"/>
    <w:rsid w:val="00E448AD"/>
    <w:rsid w:val="00E44933"/>
    <w:rsid w:val="00E44F2E"/>
    <w:rsid w:val="00E450DA"/>
    <w:rsid w:val="00E451E9"/>
    <w:rsid w:val="00E4538C"/>
    <w:rsid w:val="00E457AB"/>
    <w:rsid w:val="00E459DC"/>
    <w:rsid w:val="00E46315"/>
    <w:rsid w:val="00E4666A"/>
    <w:rsid w:val="00E46762"/>
    <w:rsid w:val="00E47097"/>
    <w:rsid w:val="00E472D2"/>
    <w:rsid w:val="00E47307"/>
    <w:rsid w:val="00E47795"/>
    <w:rsid w:val="00E47986"/>
    <w:rsid w:val="00E47CA8"/>
    <w:rsid w:val="00E50367"/>
    <w:rsid w:val="00E507E5"/>
    <w:rsid w:val="00E5158C"/>
    <w:rsid w:val="00E518EE"/>
    <w:rsid w:val="00E51917"/>
    <w:rsid w:val="00E519CF"/>
    <w:rsid w:val="00E51ABA"/>
    <w:rsid w:val="00E51BD8"/>
    <w:rsid w:val="00E51D7A"/>
    <w:rsid w:val="00E51FCB"/>
    <w:rsid w:val="00E52477"/>
    <w:rsid w:val="00E524CB"/>
    <w:rsid w:val="00E52783"/>
    <w:rsid w:val="00E5283B"/>
    <w:rsid w:val="00E529DC"/>
    <w:rsid w:val="00E52E24"/>
    <w:rsid w:val="00E52E57"/>
    <w:rsid w:val="00E52E74"/>
    <w:rsid w:val="00E53622"/>
    <w:rsid w:val="00E5362E"/>
    <w:rsid w:val="00E53AE2"/>
    <w:rsid w:val="00E53BCF"/>
    <w:rsid w:val="00E5461C"/>
    <w:rsid w:val="00E5494A"/>
    <w:rsid w:val="00E54E07"/>
    <w:rsid w:val="00E55300"/>
    <w:rsid w:val="00E55490"/>
    <w:rsid w:val="00E5576E"/>
    <w:rsid w:val="00E557DE"/>
    <w:rsid w:val="00E55BF4"/>
    <w:rsid w:val="00E56080"/>
    <w:rsid w:val="00E56485"/>
    <w:rsid w:val="00E564FE"/>
    <w:rsid w:val="00E567B9"/>
    <w:rsid w:val="00E57063"/>
    <w:rsid w:val="00E5761E"/>
    <w:rsid w:val="00E57A9F"/>
    <w:rsid w:val="00E57C1C"/>
    <w:rsid w:val="00E57D88"/>
    <w:rsid w:val="00E57EA1"/>
    <w:rsid w:val="00E60227"/>
    <w:rsid w:val="00E6036A"/>
    <w:rsid w:val="00E6043A"/>
    <w:rsid w:val="00E6048F"/>
    <w:rsid w:val="00E60533"/>
    <w:rsid w:val="00E60604"/>
    <w:rsid w:val="00E60658"/>
    <w:rsid w:val="00E606F1"/>
    <w:rsid w:val="00E60D1C"/>
    <w:rsid w:val="00E60EEA"/>
    <w:rsid w:val="00E60F51"/>
    <w:rsid w:val="00E6123A"/>
    <w:rsid w:val="00E6125B"/>
    <w:rsid w:val="00E61299"/>
    <w:rsid w:val="00E623DD"/>
    <w:rsid w:val="00E624B6"/>
    <w:rsid w:val="00E62557"/>
    <w:rsid w:val="00E62857"/>
    <w:rsid w:val="00E62927"/>
    <w:rsid w:val="00E62A1F"/>
    <w:rsid w:val="00E62ADF"/>
    <w:rsid w:val="00E62C1F"/>
    <w:rsid w:val="00E62F1A"/>
    <w:rsid w:val="00E638E3"/>
    <w:rsid w:val="00E63C99"/>
    <w:rsid w:val="00E63CDB"/>
    <w:rsid w:val="00E63EAE"/>
    <w:rsid w:val="00E63FC8"/>
    <w:rsid w:val="00E64206"/>
    <w:rsid w:val="00E6473F"/>
    <w:rsid w:val="00E64C86"/>
    <w:rsid w:val="00E64DB9"/>
    <w:rsid w:val="00E651B9"/>
    <w:rsid w:val="00E65363"/>
    <w:rsid w:val="00E65379"/>
    <w:rsid w:val="00E65456"/>
    <w:rsid w:val="00E6590A"/>
    <w:rsid w:val="00E65A91"/>
    <w:rsid w:val="00E65A9E"/>
    <w:rsid w:val="00E66188"/>
    <w:rsid w:val="00E66356"/>
    <w:rsid w:val="00E66422"/>
    <w:rsid w:val="00E664FB"/>
    <w:rsid w:val="00E66B52"/>
    <w:rsid w:val="00E66B88"/>
    <w:rsid w:val="00E66C31"/>
    <w:rsid w:val="00E66C71"/>
    <w:rsid w:val="00E66DF0"/>
    <w:rsid w:val="00E67101"/>
    <w:rsid w:val="00E67105"/>
    <w:rsid w:val="00E672AF"/>
    <w:rsid w:val="00E672F0"/>
    <w:rsid w:val="00E675C0"/>
    <w:rsid w:val="00E678F5"/>
    <w:rsid w:val="00E679B8"/>
    <w:rsid w:val="00E67A00"/>
    <w:rsid w:val="00E67A94"/>
    <w:rsid w:val="00E70075"/>
    <w:rsid w:val="00E702E5"/>
    <w:rsid w:val="00E70373"/>
    <w:rsid w:val="00E707CC"/>
    <w:rsid w:val="00E70C36"/>
    <w:rsid w:val="00E70DE3"/>
    <w:rsid w:val="00E71266"/>
    <w:rsid w:val="00E71435"/>
    <w:rsid w:val="00E71536"/>
    <w:rsid w:val="00E71E0C"/>
    <w:rsid w:val="00E71EA3"/>
    <w:rsid w:val="00E71FA1"/>
    <w:rsid w:val="00E720FF"/>
    <w:rsid w:val="00E721A3"/>
    <w:rsid w:val="00E7230A"/>
    <w:rsid w:val="00E723CB"/>
    <w:rsid w:val="00E72D41"/>
    <w:rsid w:val="00E72D4E"/>
    <w:rsid w:val="00E72DCB"/>
    <w:rsid w:val="00E72E40"/>
    <w:rsid w:val="00E7350B"/>
    <w:rsid w:val="00E7351E"/>
    <w:rsid w:val="00E73665"/>
    <w:rsid w:val="00E73725"/>
    <w:rsid w:val="00E7398D"/>
    <w:rsid w:val="00E73999"/>
    <w:rsid w:val="00E73BDC"/>
    <w:rsid w:val="00E73C05"/>
    <w:rsid w:val="00E73C92"/>
    <w:rsid w:val="00E73E9E"/>
    <w:rsid w:val="00E73FC9"/>
    <w:rsid w:val="00E74456"/>
    <w:rsid w:val="00E74926"/>
    <w:rsid w:val="00E7498F"/>
    <w:rsid w:val="00E74E45"/>
    <w:rsid w:val="00E750C4"/>
    <w:rsid w:val="00E752F1"/>
    <w:rsid w:val="00E7547B"/>
    <w:rsid w:val="00E75579"/>
    <w:rsid w:val="00E75648"/>
    <w:rsid w:val="00E75F1D"/>
    <w:rsid w:val="00E767FF"/>
    <w:rsid w:val="00E76A28"/>
    <w:rsid w:val="00E76DF9"/>
    <w:rsid w:val="00E77074"/>
    <w:rsid w:val="00E7727F"/>
    <w:rsid w:val="00E7730E"/>
    <w:rsid w:val="00E7757B"/>
    <w:rsid w:val="00E77592"/>
    <w:rsid w:val="00E777DD"/>
    <w:rsid w:val="00E7789B"/>
    <w:rsid w:val="00E779DD"/>
    <w:rsid w:val="00E801DC"/>
    <w:rsid w:val="00E80218"/>
    <w:rsid w:val="00E803D2"/>
    <w:rsid w:val="00E80871"/>
    <w:rsid w:val="00E80AA6"/>
    <w:rsid w:val="00E80C4A"/>
    <w:rsid w:val="00E81660"/>
    <w:rsid w:val="00E817CB"/>
    <w:rsid w:val="00E81A6E"/>
    <w:rsid w:val="00E81ACC"/>
    <w:rsid w:val="00E81AEF"/>
    <w:rsid w:val="00E81BA6"/>
    <w:rsid w:val="00E81D0A"/>
    <w:rsid w:val="00E8211B"/>
    <w:rsid w:val="00E822CE"/>
    <w:rsid w:val="00E82607"/>
    <w:rsid w:val="00E82B95"/>
    <w:rsid w:val="00E8393D"/>
    <w:rsid w:val="00E83CA9"/>
    <w:rsid w:val="00E83FC7"/>
    <w:rsid w:val="00E84962"/>
    <w:rsid w:val="00E84A61"/>
    <w:rsid w:val="00E84B42"/>
    <w:rsid w:val="00E84FBB"/>
    <w:rsid w:val="00E85213"/>
    <w:rsid w:val="00E852CB"/>
    <w:rsid w:val="00E85489"/>
    <w:rsid w:val="00E854FE"/>
    <w:rsid w:val="00E857F7"/>
    <w:rsid w:val="00E85CD8"/>
    <w:rsid w:val="00E85D29"/>
    <w:rsid w:val="00E86087"/>
    <w:rsid w:val="00E86098"/>
    <w:rsid w:val="00E8650C"/>
    <w:rsid w:val="00E8682A"/>
    <w:rsid w:val="00E868DA"/>
    <w:rsid w:val="00E86B6A"/>
    <w:rsid w:val="00E86C52"/>
    <w:rsid w:val="00E86D72"/>
    <w:rsid w:val="00E871E0"/>
    <w:rsid w:val="00E874F4"/>
    <w:rsid w:val="00E876DD"/>
    <w:rsid w:val="00E87DFC"/>
    <w:rsid w:val="00E900C2"/>
    <w:rsid w:val="00E9025C"/>
    <w:rsid w:val="00E90476"/>
    <w:rsid w:val="00E905DF"/>
    <w:rsid w:val="00E906CC"/>
    <w:rsid w:val="00E908F4"/>
    <w:rsid w:val="00E90A46"/>
    <w:rsid w:val="00E90ACA"/>
    <w:rsid w:val="00E90C9B"/>
    <w:rsid w:val="00E90DE4"/>
    <w:rsid w:val="00E911F2"/>
    <w:rsid w:val="00E9156E"/>
    <w:rsid w:val="00E916D2"/>
    <w:rsid w:val="00E9179E"/>
    <w:rsid w:val="00E917EC"/>
    <w:rsid w:val="00E9187B"/>
    <w:rsid w:val="00E919C7"/>
    <w:rsid w:val="00E91BC7"/>
    <w:rsid w:val="00E91E54"/>
    <w:rsid w:val="00E91F03"/>
    <w:rsid w:val="00E9202E"/>
    <w:rsid w:val="00E92195"/>
    <w:rsid w:val="00E92258"/>
    <w:rsid w:val="00E9230C"/>
    <w:rsid w:val="00E923DA"/>
    <w:rsid w:val="00E925C5"/>
    <w:rsid w:val="00E92818"/>
    <w:rsid w:val="00E93043"/>
    <w:rsid w:val="00E930C0"/>
    <w:rsid w:val="00E931A8"/>
    <w:rsid w:val="00E93256"/>
    <w:rsid w:val="00E93759"/>
    <w:rsid w:val="00E93928"/>
    <w:rsid w:val="00E9394A"/>
    <w:rsid w:val="00E939A0"/>
    <w:rsid w:val="00E94141"/>
    <w:rsid w:val="00E94258"/>
    <w:rsid w:val="00E9455A"/>
    <w:rsid w:val="00E945A5"/>
    <w:rsid w:val="00E946FC"/>
    <w:rsid w:val="00E949C8"/>
    <w:rsid w:val="00E94B6B"/>
    <w:rsid w:val="00E9546B"/>
    <w:rsid w:val="00E95555"/>
    <w:rsid w:val="00E95945"/>
    <w:rsid w:val="00E95E71"/>
    <w:rsid w:val="00E96866"/>
    <w:rsid w:val="00E96880"/>
    <w:rsid w:val="00E96AC8"/>
    <w:rsid w:val="00E96D26"/>
    <w:rsid w:val="00E96D85"/>
    <w:rsid w:val="00E96DB6"/>
    <w:rsid w:val="00E97E4E"/>
    <w:rsid w:val="00EA0060"/>
    <w:rsid w:val="00EA03E0"/>
    <w:rsid w:val="00EA03FC"/>
    <w:rsid w:val="00EA05C5"/>
    <w:rsid w:val="00EA0D27"/>
    <w:rsid w:val="00EA1678"/>
    <w:rsid w:val="00EA1790"/>
    <w:rsid w:val="00EA1B33"/>
    <w:rsid w:val="00EA1CC2"/>
    <w:rsid w:val="00EA1CC8"/>
    <w:rsid w:val="00EA1D79"/>
    <w:rsid w:val="00EA2142"/>
    <w:rsid w:val="00EA21C7"/>
    <w:rsid w:val="00EA24F1"/>
    <w:rsid w:val="00EA2648"/>
    <w:rsid w:val="00EA2A2B"/>
    <w:rsid w:val="00EA2A6E"/>
    <w:rsid w:val="00EA2D76"/>
    <w:rsid w:val="00EA32BA"/>
    <w:rsid w:val="00EA33A0"/>
    <w:rsid w:val="00EA380A"/>
    <w:rsid w:val="00EA3B65"/>
    <w:rsid w:val="00EA4498"/>
    <w:rsid w:val="00EA45AE"/>
    <w:rsid w:val="00EA4644"/>
    <w:rsid w:val="00EA47AD"/>
    <w:rsid w:val="00EA4D79"/>
    <w:rsid w:val="00EA4DE8"/>
    <w:rsid w:val="00EA4F2F"/>
    <w:rsid w:val="00EA5056"/>
    <w:rsid w:val="00EA5287"/>
    <w:rsid w:val="00EA53B9"/>
    <w:rsid w:val="00EA5660"/>
    <w:rsid w:val="00EA598B"/>
    <w:rsid w:val="00EA5CB0"/>
    <w:rsid w:val="00EA60CA"/>
    <w:rsid w:val="00EA6120"/>
    <w:rsid w:val="00EA6171"/>
    <w:rsid w:val="00EA6471"/>
    <w:rsid w:val="00EA694B"/>
    <w:rsid w:val="00EA6C43"/>
    <w:rsid w:val="00EA6E08"/>
    <w:rsid w:val="00EA70D9"/>
    <w:rsid w:val="00EA7104"/>
    <w:rsid w:val="00EA7167"/>
    <w:rsid w:val="00EA72EE"/>
    <w:rsid w:val="00EA751F"/>
    <w:rsid w:val="00EA758A"/>
    <w:rsid w:val="00EA76F4"/>
    <w:rsid w:val="00EA7E60"/>
    <w:rsid w:val="00EA7F0F"/>
    <w:rsid w:val="00EB002C"/>
    <w:rsid w:val="00EB01AD"/>
    <w:rsid w:val="00EB0624"/>
    <w:rsid w:val="00EB0680"/>
    <w:rsid w:val="00EB096F"/>
    <w:rsid w:val="00EB0EF9"/>
    <w:rsid w:val="00EB199F"/>
    <w:rsid w:val="00EB19EE"/>
    <w:rsid w:val="00EB1A16"/>
    <w:rsid w:val="00EB1E68"/>
    <w:rsid w:val="00EB21A4"/>
    <w:rsid w:val="00EB2505"/>
    <w:rsid w:val="00EB27C4"/>
    <w:rsid w:val="00EB27CE"/>
    <w:rsid w:val="00EB2B02"/>
    <w:rsid w:val="00EB2E0A"/>
    <w:rsid w:val="00EB2F04"/>
    <w:rsid w:val="00EB31C8"/>
    <w:rsid w:val="00EB3312"/>
    <w:rsid w:val="00EB3840"/>
    <w:rsid w:val="00EB38A9"/>
    <w:rsid w:val="00EB3A2B"/>
    <w:rsid w:val="00EB3B63"/>
    <w:rsid w:val="00EB3C90"/>
    <w:rsid w:val="00EB3CC9"/>
    <w:rsid w:val="00EB3D20"/>
    <w:rsid w:val="00EB3DE9"/>
    <w:rsid w:val="00EB3E08"/>
    <w:rsid w:val="00EB3F81"/>
    <w:rsid w:val="00EB42F6"/>
    <w:rsid w:val="00EB45D9"/>
    <w:rsid w:val="00EB49C3"/>
    <w:rsid w:val="00EB4B44"/>
    <w:rsid w:val="00EB4CF4"/>
    <w:rsid w:val="00EB5387"/>
    <w:rsid w:val="00EB5B5D"/>
    <w:rsid w:val="00EB5B7E"/>
    <w:rsid w:val="00EB5C10"/>
    <w:rsid w:val="00EB60AD"/>
    <w:rsid w:val="00EB622E"/>
    <w:rsid w:val="00EB6278"/>
    <w:rsid w:val="00EB6381"/>
    <w:rsid w:val="00EB6462"/>
    <w:rsid w:val="00EB6632"/>
    <w:rsid w:val="00EB6768"/>
    <w:rsid w:val="00EB724E"/>
    <w:rsid w:val="00EB72AA"/>
    <w:rsid w:val="00EB7322"/>
    <w:rsid w:val="00EB7819"/>
    <w:rsid w:val="00EC0416"/>
    <w:rsid w:val="00EC04D1"/>
    <w:rsid w:val="00EC07F5"/>
    <w:rsid w:val="00EC093D"/>
    <w:rsid w:val="00EC0C03"/>
    <w:rsid w:val="00EC0E36"/>
    <w:rsid w:val="00EC0FE9"/>
    <w:rsid w:val="00EC1310"/>
    <w:rsid w:val="00EC1552"/>
    <w:rsid w:val="00EC159E"/>
    <w:rsid w:val="00EC1927"/>
    <w:rsid w:val="00EC198B"/>
    <w:rsid w:val="00EC19A7"/>
    <w:rsid w:val="00EC1A93"/>
    <w:rsid w:val="00EC1BAA"/>
    <w:rsid w:val="00EC242D"/>
    <w:rsid w:val="00EC24CF"/>
    <w:rsid w:val="00EC2859"/>
    <w:rsid w:val="00EC2E44"/>
    <w:rsid w:val="00EC3188"/>
    <w:rsid w:val="00EC337B"/>
    <w:rsid w:val="00EC33D2"/>
    <w:rsid w:val="00EC35A0"/>
    <w:rsid w:val="00EC3806"/>
    <w:rsid w:val="00EC3E5A"/>
    <w:rsid w:val="00EC4016"/>
    <w:rsid w:val="00EC413A"/>
    <w:rsid w:val="00EC418F"/>
    <w:rsid w:val="00EC426D"/>
    <w:rsid w:val="00EC4410"/>
    <w:rsid w:val="00EC49B0"/>
    <w:rsid w:val="00EC5186"/>
    <w:rsid w:val="00EC55CB"/>
    <w:rsid w:val="00EC571B"/>
    <w:rsid w:val="00EC57D7"/>
    <w:rsid w:val="00EC5B55"/>
    <w:rsid w:val="00EC5D8A"/>
    <w:rsid w:val="00EC5EB2"/>
    <w:rsid w:val="00EC5EF9"/>
    <w:rsid w:val="00EC6119"/>
    <w:rsid w:val="00EC61E7"/>
    <w:rsid w:val="00EC6385"/>
    <w:rsid w:val="00EC6440"/>
    <w:rsid w:val="00EC64E3"/>
    <w:rsid w:val="00EC69D0"/>
    <w:rsid w:val="00EC6A72"/>
    <w:rsid w:val="00EC6C99"/>
    <w:rsid w:val="00EC6D74"/>
    <w:rsid w:val="00EC6E81"/>
    <w:rsid w:val="00EC78C6"/>
    <w:rsid w:val="00EC7975"/>
    <w:rsid w:val="00EC7B25"/>
    <w:rsid w:val="00EC7CC2"/>
    <w:rsid w:val="00EC7CEA"/>
    <w:rsid w:val="00EC7D6E"/>
    <w:rsid w:val="00EC7FEB"/>
    <w:rsid w:val="00ED0484"/>
    <w:rsid w:val="00ED05ED"/>
    <w:rsid w:val="00ED0970"/>
    <w:rsid w:val="00ED0A59"/>
    <w:rsid w:val="00ED0B06"/>
    <w:rsid w:val="00ED0B79"/>
    <w:rsid w:val="00ED0BFF"/>
    <w:rsid w:val="00ED0D0F"/>
    <w:rsid w:val="00ED0ED9"/>
    <w:rsid w:val="00ED0F30"/>
    <w:rsid w:val="00ED110F"/>
    <w:rsid w:val="00ED1244"/>
    <w:rsid w:val="00ED146E"/>
    <w:rsid w:val="00ED1494"/>
    <w:rsid w:val="00ED16CA"/>
    <w:rsid w:val="00ED1A4E"/>
    <w:rsid w:val="00ED1B2E"/>
    <w:rsid w:val="00ED1DE9"/>
    <w:rsid w:val="00ED1EAF"/>
    <w:rsid w:val="00ED20BA"/>
    <w:rsid w:val="00ED23D4"/>
    <w:rsid w:val="00ED2428"/>
    <w:rsid w:val="00ED2A80"/>
    <w:rsid w:val="00ED2B78"/>
    <w:rsid w:val="00ED319C"/>
    <w:rsid w:val="00ED3565"/>
    <w:rsid w:val="00ED3742"/>
    <w:rsid w:val="00ED3870"/>
    <w:rsid w:val="00ED4090"/>
    <w:rsid w:val="00ED47F6"/>
    <w:rsid w:val="00ED488D"/>
    <w:rsid w:val="00ED4969"/>
    <w:rsid w:val="00ED4CC8"/>
    <w:rsid w:val="00ED4F03"/>
    <w:rsid w:val="00ED5715"/>
    <w:rsid w:val="00ED57CA"/>
    <w:rsid w:val="00ED5A46"/>
    <w:rsid w:val="00ED5B91"/>
    <w:rsid w:val="00ED5E04"/>
    <w:rsid w:val="00ED5E0B"/>
    <w:rsid w:val="00ED5F47"/>
    <w:rsid w:val="00ED5F70"/>
    <w:rsid w:val="00ED6159"/>
    <w:rsid w:val="00ED64C2"/>
    <w:rsid w:val="00ED653F"/>
    <w:rsid w:val="00ED72A1"/>
    <w:rsid w:val="00ED7857"/>
    <w:rsid w:val="00EE00F7"/>
    <w:rsid w:val="00EE044D"/>
    <w:rsid w:val="00EE1281"/>
    <w:rsid w:val="00EE13A8"/>
    <w:rsid w:val="00EE1437"/>
    <w:rsid w:val="00EE1FB1"/>
    <w:rsid w:val="00EE2090"/>
    <w:rsid w:val="00EE2560"/>
    <w:rsid w:val="00EE2583"/>
    <w:rsid w:val="00EE2CF7"/>
    <w:rsid w:val="00EE2D79"/>
    <w:rsid w:val="00EE37B6"/>
    <w:rsid w:val="00EE3C32"/>
    <w:rsid w:val="00EE4AB2"/>
    <w:rsid w:val="00EE4B7A"/>
    <w:rsid w:val="00EE4BD7"/>
    <w:rsid w:val="00EE4C32"/>
    <w:rsid w:val="00EE4CA4"/>
    <w:rsid w:val="00EE4E4D"/>
    <w:rsid w:val="00EE5083"/>
    <w:rsid w:val="00EE573C"/>
    <w:rsid w:val="00EE574A"/>
    <w:rsid w:val="00EE5CBC"/>
    <w:rsid w:val="00EE5DC9"/>
    <w:rsid w:val="00EE5F90"/>
    <w:rsid w:val="00EE6450"/>
    <w:rsid w:val="00EE6557"/>
    <w:rsid w:val="00EE6758"/>
    <w:rsid w:val="00EE677E"/>
    <w:rsid w:val="00EE7859"/>
    <w:rsid w:val="00EE7DF6"/>
    <w:rsid w:val="00EE7F5A"/>
    <w:rsid w:val="00EF00E5"/>
    <w:rsid w:val="00EF0149"/>
    <w:rsid w:val="00EF0F45"/>
    <w:rsid w:val="00EF1100"/>
    <w:rsid w:val="00EF17A4"/>
    <w:rsid w:val="00EF1AF4"/>
    <w:rsid w:val="00EF1E74"/>
    <w:rsid w:val="00EF1F2F"/>
    <w:rsid w:val="00EF2303"/>
    <w:rsid w:val="00EF2346"/>
    <w:rsid w:val="00EF2469"/>
    <w:rsid w:val="00EF2EC4"/>
    <w:rsid w:val="00EF2FC7"/>
    <w:rsid w:val="00EF31C2"/>
    <w:rsid w:val="00EF3251"/>
    <w:rsid w:val="00EF33A7"/>
    <w:rsid w:val="00EF34B8"/>
    <w:rsid w:val="00EF3C81"/>
    <w:rsid w:val="00EF4005"/>
    <w:rsid w:val="00EF4072"/>
    <w:rsid w:val="00EF415E"/>
    <w:rsid w:val="00EF417F"/>
    <w:rsid w:val="00EF441B"/>
    <w:rsid w:val="00EF4538"/>
    <w:rsid w:val="00EF4A72"/>
    <w:rsid w:val="00EF4C20"/>
    <w:rsid w:val="00EF4C71"/>
    <w:rsid w:val="00EF4EE6"/>
    <w:rsid w:val="00EF4F73"/>
    <w:rsid w:val="00EF5A25"/>
    <w:rsid w:val="00EF5EF2"/>
    <w:rsid w:val="00EF6855"/>
    <w:rsid w:val="00EF6A3C"/>
    <w:rsid w:val="00EF6A49"/>
    <w:rsid w:val="00EF6B1D"/>
    <w:rsid w:val="00EF6BFE"/>
    <w:rsid w:val="00EF6C34"/>
    <w:rsid w:val="00EF7308"/>
    <w:rsid w:val="00EF7400"/>
    <w:rsid w:val="00EF7463"/>
    <w:rsid w:val="00EF74B0"/>
    <w:rsid w:val="00EF75E8"/>
    <w:rsid w:val="00EF764A"/>
    <w:rsid w:val="00EF765E"/>
    <w:rsid w:val="00EF7808"/>
    <w:rsid w:val="00EF785A"/>
    <w:rsid w:val="00EF7971"/>
    <w:rsid w:val="00F001DD"/>
    <w:rsid w:val="00F002EF"/>
    <w:rsid w:val="00F004CD"/>
    <w:rsid w:val="00F007A6"/>
    <w:rsid w:val="00F008BF"/>
    <w:rsid w:val="00F00A6E"/>
    <w:rsid w:val="00F00BC8"/>
    <w:rsid w:val="00F00EED"/>
    <w:rsid w:val="00F00F4B"/>
    <w:rsid w:val="00F01138"/>
    <w:rsid w:val="00F01615"/>
    <w:rsid w:val="00F017DC"/>
    <w:rsid w:val="00F019D3"/>
    <w:rsid w:val="00F01E7C"/>
    <w:rsid w:val="00F01E9B"/>
    <w:rsid w:val="00F01EE9"/>
    <w:rsid w:val="00F020C3"/>
    <w:rsid w:val="00F021CF"/>
    <w:rsid w:val="00F02366"/>
    <w:rsid w:val="00F02578"/>
    <w:rsid w:val="00F026AA"/>
    <w:rsid w:val="00F02C6D"/>
    <w:rsid w:val="00F02E60"/>
    <w:rsid w:val="00F02F54"/>
    <w:rsid w:val="00F0314B"/>
    <w:rsid w:val="00F031B1"/>
    <w:rsid w:val="00F0325C"/>
    <w:rsid w:val="00F033C3"/>
    <w:rsid w:val="00F036E9"/>
    <w:rsid w:val="00F038B6"/>
    <w:rsid w:val="00F03969"/>
    <w:rsid w:val="00F04509"/>
    <w:rsid w:val="00F04900"/>
    <w:rsid w:val="00F04B15"/>
    <w:rsid w:val="00F04D1B"/>
    <w:rsid w:val="00F04F04"/>
    <w:rsid w:val="00F04FA5"/>
    <w:rsid w:val="00F05308"/>
    <w:rsid w:val="00F05709"/>
    <w:rsid w:val="00F05B6F"/>
    <w:rsid w:val="00F05EB2"/>
    <w:rsid w:val="00F05FF4"/>
    <w:rsid w:val="00F061EB"/>
    <w:rsid w:val="00F062A0"/>
    <w:rsid w:val="00F06456"/>
    <w:rsid w:val="00F0659F"/>
    <w:rsid w:val="00F065A4"/>
    <w:rsid w:val="00F06614"/>
    <w:rsid w:val="00F06C3D"/>
    <w:rsid w:val="00F06CFB"/>
    <w:rsid w:val="00F070A7"/>
    <w:rsid w:val="00F0716A"/>
    <w:rsid w:val="00F07332"/>
    <w:rsid w:val="00F0740C"/>
    <w:rsid w:val="00F077C3"/>
    <w:rsid w:val="00F07BFC"/>
    <w:rsid w:val="00F07EDE"/>
    <w:rsid w:val="00F10583"/>
    <w:rsid w:val="00F1064A"/>
    <w:rsid w:val="00F10972"/>
    <w:rsid w:val="00F114DB"/>
    <w:rsid w:val="00F11594"/>
    <w:rsid w:val="00F115E7"/>
    <w:rsid w:val="00F117D0"/>
    <w:rsid w:val="00F11C85"/>
    <w:rsid w:val="00F12131"/>
    <w:rsid w:val="00F124DE"/>
    <w:rsid w:val="00F126B9"/>
    <w:rsid w:val="00F12715"/>
    <w:rsid w:val="00F129DB"/>
    <w:rsid w:val="00F130F5"/>
    <w:rsid w:val="00F13E68"/>
    <w:rsid w:val="00F14104"/>
    <w:rsid w:val="00F144D5"/>
    <w:rsid w:val="00F14607"/>
    <w:rsid w:val="00F14648"/>
    <w:rsid w:val="00F146F0"/>
    <w:rsid w:val="00F14B22"/>
    <w:rsid w:val="00F15039"/>
    <w:rsid w:val="00F150AD"/>
    <w:rsid w:val="00F154AE"/>
    <w:rsid w:val="00F154DA"/>
    <w:rsid w:val="00F15655"/>
    <w:rsid w:val="00F15B37"/>
    <w:rsid w:val="00F15BCB"/>
    <w:rsid w:val="00F15E0F"/>
    <w:rsid w:val="00F1612A"/>
    <w:rsid w:val="00F1642F"/>
    <w:rsid w:val="00F16448"/>
    <w:rsid w:val="00F16715"/>
    <w:rsid w:val="00F16B66"/>
    <w:rsid w:val="00F16FC0"/>
    <w:rsid w:val="00F17190"/>
    <w:rsid w:val="00F173D9"/>
    <w:rsid w:val="00F174C0"/>
    <w:rsid w:val="00F175AC"/>
    <w:rsid w:val="00F17DA8"/>
    <w:rsid w:val="00F20269"/>
    <w:rsid w:val="00F206B0"/>
    <w:rsid w:val="00F20A05"/>
    <w:rsid w:val="00F20F44"/>
    <w:rsid w:val="00F20FF3"/>
    <w:rsid w:val="00F21632"/>
    <w:rsid w:val="00F2190B"/>
    <w:rsid w:val="00F21B80"/>
    <w:rsid w:val="00F21DDF"/>
    <w:rsid w:val="00F22095"/>
    <w:rsid w:val="00F22114"/>
    <w:rsid w:val="00F22121"/>
    <w:rsid w:val="00F2226C"/>
    <w:rsid w:val="00F224C4"/>
    <w:rsid w:val="00F22593"/>
    <w:rsid w:val="00F22745"/>
    <w:rsid w:val="00F228B5"/>
    <w:rsid w:val="00F22DC7"/>
    <w:rsid w:val="00F22E09"/>
    <w:rsid w:val="00F22F13"/>
    <w:rsid w:val="00F23255"/>
    <w:rsid w:val="00F232E6"/>
    <w:rsid w:val="00F23835"/>
    <w:rsid w:val="00F2389C"/>
    <w:rsid w:val="00F23A5A"/>
    <w:rsid w:val="00F24257"/>
    <w:rsid w:val="00F24282"/>
    <w:rsid w:val="00F247F5"/>
    <w:rsid w:val="00F24D1C"/>
    <w:rsid w:val="00F2509E"/>
    <w:rsid w:val="00F25568"/>
    <w:rsid w:val="00F256E5"/>
    <w:rsid w:val="00F258FC"/>
    <w:rsid w:val="00F2592D"/>
    <w:rsid w:val="00F25976"/>
    <w:rsid w:val="00F25B68"/>
    <w:rsid w:val="00F25C67"/>
    <w:rsid w:val="00F25D79"/>
    <w:rsid w:val="00F25E97"/>
    <w:rsid w:val="00F269E9"/>
    <w:rsid w:val="00F26A2E"/>
    <w:rsid w:val="00F26C90"/>
    <w:rsid w:val="00F26DEF"/>
    <w:rsid w:val="00F26FEA"/>
    <w:rsid w:val="00F27081"/>
    <w:rsid w:val="00F273AD"/>
    <w:rsid w:val="00F2777B"/>
    <w:rsid w:val="00F27926"/>
    <w:rsid w:val="00F3043B"/>
    <w:rsid w:val="00F307E8"/>
    <w:rsid w:val="00F3094E"/>
    <w:rsid w:val="00F30CCD"/>
    <w:rsid w:val="00F30DFF"/>
    <w:rsid w:val="00F310CD"/>
    <w:rsid w:val="00F311D6"/>
    <w:rsid w:val="00F312BA"/>
    <w:rsid w:val="00F313A3"/>
    <w:rsid w:val="00F313E6"/>
    <w:rsid w:val="00F3184B"/>
    <w:rsid w:val="00F318C7"/>
    <w:rsid w:val="00F31986"/>
    <w:rsid w:val="00F319A6"/>
    <w:rsid w:val="00F31A55"/>
    <w:rsid w:val="00F31DF8"/>
    <w:rsid w:val="00F31E91"/>
    <w:rsid w:val="00F31FBA"/>
    <w:rsid w:val="00F320CC"/>
    <w:rsid w:val="00F321A4"/>
    <w:rsid w:val="00F32264"/>
    <w:rsid w:val="00F324A0"/>
    <w:rsid w:val="00F325E6"/>
    <w:rsid w:val="00F32628"/>
    <w:rsid w:val="00F3280A"/>
    <w:rsid w:val="00F329EE"/>
    <w:rsid w:val="00F32B80"/>
    <w:rsid w:val="00F32C7F"/>
    <w:rsid w:val="00F3315A"/>
    <w:rsid w:val="00F3337C"/>
    <w:rsid w:val="00F33753"/>
    <w:rsid w:val="00F33EF9"/>
    <w:rsid w:val="00F340EB"/>
    <w:rsid w:val="00F34A48"/>
    <w:rsid w:val="00F35285"/>
    <w:rsid w:val="00F352B3"/>
    <w:rsid w:val="00F35A65"/>
    <w:rsid w:val="00F35CE6"/>
    <w:rsid w:val="00F361D4"/>
    <w:rsid w:val="00F36407"/>
    <w:rsid w:val="00F365F1"/>
    <w:rsid w:val="00F36FC6"/>
    <w:rsid w:val="00F37070"/>
    <w:rsid w:val="00F372BB"/>
    <w:rsid w:val="00F374DD"/>
    <w:rsid w:val="00F3756E"/>
    <w:rsid w:val="00F379DF"/>
    <w:rsid w:val="00F40347"/>
    <w:rsid w:val="00F40351"/>
    <w:rsid w:val="00F40765"/>
    <w:rsid w:val="00F407FA"/>
    <w:rsid w:val="00F40D1C"/>
    <w:rsid w:val="00F40FD0"/>
    <w:rsid w:val="00F41146"/>
    <w:rsid w:val="00F41479"/>
    <w:rsid w:val="00F417C8"/>
    <w:rsid w:val="00F418C7"/>
    <w:rsid w:val="00F41B35"/>
    <w:rsid w:val="00F41C1A"/>
    <w:rsid w:val="00F41C9C"/>
    <w:rsid w:val="00F41D07"/>
    <w:rsid w:val="00F41E7F"/>
    <w:rsid w:val="00F4213B"/>
    <w:rsid w:val="00F42514"/>
    <w:rsid w:val="00F42856"/>
    <w:rsid w:val="00F4343D"/>
    <w:rsid w:val="00F43512"/>
    <w:rsid w:val="00F436A1"/>
    <w:rsid w:val="00F43B9D"/>
    <w:rsid w:val="00F43F57"/>
    <w:rsid w:val="00F43FE0"/>
    <w:rsid w:val="00F44025"/>
    <w:rsid w:val="00F441EF"/>
    <w:rsid w:val="00F444C1"/>
    <w:rsid w:val="00F444CE"/>
    <w:rsid w:val="00F44852"/>
    <w:rsid w:val="00F44C68"/>
    <w:rsid w:val="00F44CA4"/>
    <w:rsid w:val="00F44D5E"/>
    <w:rsid w:val="00F45149"/>
    <w:rsid w:val="00F45165"/>
    <w:rsid w:val="00F45709"/>
    <w:rsid w:val="00F45B11"/>
    <w:rsid w:val="00F45D13"/>
    <w:rsid w:val="00F45D1D"/>
    <w:rsid w:val="00F46253"/>
    <w:rsid w:val="00F46474"/>
    <w:rsid w:val="00F466BD"/>
    <w:rsid w:val="00F46736"/>
    <w:rsid w:val="00F46767"/>
    <w:rsid w:val="00F4682C"/>
    <w:rsid w:val="00F4688D"/>
    <w:rsid w:val="00F46DEE"/>
    <w:rsid w:val="00F46E2C"/>
    <w:rsid w:val="00F4706E"/>
    <w:rsid w:val="00F47403"/>
    <w:rsid w:val="00F47714"/>
    <w:rsid w:val="00F47844"/>
    <w:rsid w:val="00F479C4"/>
    <w:rsid w:val="00F47B5A"/>
    <w:rsid w:val="00F47CE6"/>
    <w:rsid w:val="00F47E5C"/>
    <w:rsid w:val="00F503A5"/>
    <w:rsid w:val="00F50634"/>
    <w:rsid w:val="00F5076C"/>
    <w:rsid w:val="00F50BC1"/>
    <w:rsid w:val="00F50EE8"/>
    <w:rsid w:val="00F51A2E"/>
    <w:rsid w:val="00F51AB3"/>
    <w:rsid w:val="00F51D63"/>
    <w:rsid w:val="00F52217"/>
    <w:rsid w:val="00F524E3"/>
    <w:rsid w:val="00F5277B"/>
    <w:rsid w:val="00F529C3"/>
    <w:rsid w:val="00F52E2F"/>
    <w:rsid w:val="00F53499"/>
    <w:rsid w:val="00F537C7"/>
    <w:rsid w:val="00F53A2E"/>
    <w:rsid w:val="00F53A35"/>
    <w:rsid w:val="00F53C54"/>
    <w:rsid w:val="00F53D4E"/>
    <w:rsid w:val="00F545AC"/>
    <w:rsid w:val="00F545EE"/>
    <w:rsid w:val="00F548E6"/>
    <w:rsid w:val="00F54E3E"/>
    <w:rsid w:val="00F5562F"/>
    <w:rsid w:val="00F55781"/>
    <w:rsid w:val="00F558DB"/>
    <w:rsid w:val="00F55A18"/>
    <w:rsid w:val="00F55A3D"/>
    <w:rsid w:val="00F55BA8"/>
    <w:rsid w:val="00F56063"/>
    <w:rsid w:val="00F560B4"/>
    <w:rsid w:val="00F56A7E"/>
    <w:rsid w:val="00F5744B"/>
    <w:rsid w:val="00F57C6E"/>
    <w:rsid w:val="00F6007F"/>
    <w:rsid w:val="00F609C0"/>
    <w:rsid w:val="00F60CF8"/>
    <w:rsid w:val="00F60E2B"/>
    <w:rsid w:val="00F60F0D"/>
    <w:rsid w:val="00F61209"/>
    <w:rsid w:val="00F6160E"/>
    <w:rsid w:val="00F61C14"/>
    <w:rsid w:val="00F62054"/>
    <w:rsid w:val="00F62066"/>
    <w:rsid w:val="00F623E4"/>
    <w:rsid w:val="00F6259E"/>
    <w:rsid w:val="00F625B2"/>
    <w:rsid w:val="00F62700"/>
    <w:rsid w:val="00F62918"/>
    <w:rsid w:val="00F629E8"/>
    <w:rsid w:val="00F62B02"/>
    <w:rsid w:val="00F62C1A"/>
    <w:rsid w:val="00F62DCC"/>
    <w:rsid w:val="00F62DDE"/>
    <w:rsid w:val="00F63070"/>
    <w:rsid w:val="00F639EB"/>
    <w:rsid w:val="00F63B08"/>
    <w:rsid w:val="00F63BB5"/>
    <w:rsid w:val="00F63F64"/>
    <w:rsid w:val="00F641F6"/>
    <w:rsid w:val="00F64B70"/>
    <w:rsid w:val="00F64D49"/>
    <w:rsid w:val="00F64FE9"/>
    <w:rsid w:val="00F650CA"/>
    <w:rsid w:val="00F651B3"/>
    <w:rsid w:val="00F652C7"/>
    <w:rsid w:val="00F65761"/>
    <w:rsid w:val="00F65A79"/>
    <w:rsid w:val="00F65ABD"/>
    <w:rsid w:val="00F65DD4"/>
    <w:rsid w:val="00F65E1C"/>
    <w:rsid w:val="00F662DC"/>
    <w:rsid w:val="00F66508"/>
    <w:rsid w:val="00F6651F"/>
    <w:rsid w:val="00F665C3"/>
    <w:rsid w:val="00F66F4D"/>
    <w:rsid w:val="00F66FB6"/>
    <w:rsid w:val="00F67095"/>
    <w:rsid w:val="00F672B2"/>
    <w:rsid w:val="00F672F3"/>
    <w:rsid w:val="00F674AC"/>
    <w:rsid w:val="00F6790C"/>
    <w:rsid w:val="00F67F47"/>
    <w:rsid w:val="00F7006F"/>
    <w:rsid w:val="00F70211"/>
    <w:rsid w:val="00F70327"/>
    <w:rsid w:val="00F703B5"/>
    <w:rsid w:val="00F707D1"/>
    <w:rsid w:val="00F70D56"/>
    <w:rsid w:val="00F71148"/>
    <w:rsid w:val="00F71423"/>
    <w:rsid w:val="00F714F2"/>
    <w:rsid w:val="00F71F55"/>
    <w:rsid w:val="00F728BF"/>
    <w:rsid w:val="00F72ACD"/>
    <w:rsid w:val="00F72B2E"/>
    <w:rsid w:val="00F73052"/>
    <w:rsid w:val="00F73201"/>
    <w:rsid w:val="00F7322A"/>
    <w:rsid w:val="00F732F2"/>
    <w:rsid w:val="00F73EBD"/>
    <w:rsid w:val="00F745A8"/>
    <w:rsid w:val="00F74770"/>
    <w:rsid w:val="00F74DC1"/>
    <w:rsid w:val="00F74F16"/>
    <w:rsid w:val="00F7509C"/>
    <w:rsid w:val="00F75301"/>
    <w:rsid w:val="00F75335"/>
    <w:rsid w:val="00F757A6"/>
    <w:rsid w:val="00F75AD8"/>
    <w:rsid w:val="00F75B87"/>
    <w:rsid w:val="00F76324"/>
    <w:rsid w:val="00F7632E"/>
    <w:rsid w:val="00F76423"/>
    <w:rsid w:val="00F764E9"/>
    <w:rsid w:val="00F76957"/>
    <w:rsid w:val="00F76A3D"/>
    <w:rsid w:val="00F76D8D"/>
    <w:rsid w:val="00F76EF5"/>
    <w:rsid w:val="00F7716F"/>
    <w:rsid w:val="00F7744B"/>
    <w:rsid w:val="00F77A9D"/>
    <w:rsid w:val="00F77D48"/>
    <w:rsid w:val="00F8035D"/>
    <w:rsid w:val="00F8076D"/>
    <w:rsid w:val="00F80793"/>
    <w:rsid w:val="00F80C3B"/>
    <w:rsid w:val="00F816B5"/>
    <w:rsid w:val="00F817FF"/>
    <w:rsid w:val="00F818B5"/>
    <w:rsid w:val="00F81B49"/>
    <w:rsid w:val="00F823AB"/>
    <w:rsid w:val="00F82B25"/>
    <w:rsid w:val="00F82BC1"/>
    <w:rsid w:val="00F82C04"/>
    <w:rsid w:val="00F82D95"/>
    <w:rsid w:val="00F82EE8"/>
    <w:rsid w:val="00F82F49"/>
    <w:rsid w:val="00F83117"/>
    <w:rsid w:val="00F8328D"/>
    <w:rsid w:val="00F83444"/>
    <w:rsid w:val="00F83973"/>
    <w:rsid w:val="00F83997"/>
    <w:rsid w:val="00F83A02"/>
    <w:rsid w:val="00F8422D"/>
    <w:rsid w:val="00F8427F"/>
    <w:rsid w:val="00F844A9"/>
    <w:rsid w:val="00F84574"/>
    <w:rsid w:val="00F84625"/>
    <w:rsid w:val="00F84950"/>
    <w:rsid w:val="00F85153"/>
    <w:rsid w:val="00F85220"/>
    <w:rsid w:val="00F8533E"/>
    <w:rsid w:val="00F85529"/>
    <w:rsid w:val="00F85742"/>
    <w:rsid w:val="00F85845"/>
    <w:rsid w:val="00F8597B"/>
    <w:rsid w:val="00F85A0C"/>
    <w:rsid w:val="00F85AED"/>
    <w:rsid w:val="00F85C0E"/>
    <w:rsid w:val="00F864E2"/>
    <w:rsid w:val="00F869D0"/>
    <w:rsid w:val="00F86EB1"/>
    <w:rsid w:val="00F8705C"/>
    <w:rsid w:val="00F8719F"/>
    <w:rsid w:val="00F87226"/>
    <w:rsid w:val="00F874A0"/>
    <w:rsid w:val="00F875B8"/>
    <w:rsid w:val="00F87AEF"/>
    <w:rsid w:val="00F87CC3"/>
    <w:rsid w:val="00F87FA3"/>
    <w:rsid w:val="00F90331"/>
    <w:rsid w:val="00F90759"/>
    <w:rsid w:val="00F9139C"/>
    <w:rsid w:val="00F9142E"/>
    <w:rsid w:val="00F915A1"/>
    <w:rsid w:val="00F91859"/>
    <w:rsid w:val="00F918C5"/>
    <w:rsid w:val="00F923BC"/>
    <w:rsid w:val="00F924CF"/>
    <w:rsid w:val="00F92798"/>
    <w:rsid w:val="00F927EC"/>
    <w:rsid w:val="00F92C75"/>
    <w:rsid w:val="00F92E40"/>
    <w:rsid w:val="00F92F39"/>
    <w:rsid w:val="00F931B9"/>
    <w:rsid w:val="00F93424"/>
    <w:rsid w:val="00F935E2"/>
    <w:rsid w:val="00F93835"/>
    <w:rsid w:val="00F93B52"/>
    <w:rsid w:val="00F93CB6"/>
    <w:rsid w:val="00F93D8C"/>
    <w:rsid w:val="00F93DD6"/>
    <w:rsid w:val="00F93E65"/>
    <w:rsid w:val="00F9449D"/>
    <w:rsid w:val="00F94504"/>
    <w:rsid w:val="00F9452D"/>
    <w:rsid w:val="00F94872"/>
    <w:rsid w:val="00F9488E"/>
    <w:rsid w:val="00F94E76"/>
    <w:rsid w:val="00F94EAD"/>
    <w:rsid w:val="00F951C9"/>
    <w:rsid w:val="00F9528D"/>
    <w:rsid w:val="00F95394"/>
    <w:rsid w:val="00F95477"/>
    <w:rsid w:val="00F955B6"/>
    <w:rsid w:val="00F95667"/>
    <w:rsid w:val="00F95A03"/>
    <w:rsid w:val="00F95C65"/>
    <w:rsid w:val="00F95D6C"/>
    <w:rsid w:val="00F95E74"/>
    <w:rsid w:val="00F962D8"/>
    <w:rsid w:val="00F965C6"/>
    <w:rsid w:val="00F96AED"/>
    <w:rsid w:val="00F96C94"/>
    <w:rsid w:val="00F96F2F"/>
    <w:rsid w:val="00F96FB9"/>
    <w:rsid w:val="00F973E1"/>
    <w:rsid w:val="00F9780C"/>
    <w:rsid w:val="00F97F59"/>
    <w:rsid w:val="00FA0545"/>
    <w:rsid w:val="00FA0AA1"/>
    <w:rsid w:val="00FA1612"/>
    <w:rsid w:val="00FA17A1"/>
    <w:rsid w:val="00FA18B2"/>
    <w:rsid w:val="00FA1A0F"/>
    <w:rsid w:val="00FA1AF9"/>
    <w:rsid w:val="00FA1C78"/>
    <w:rsid w:val="00FA1E01"/>
    <w:rsid w:val="00FA1E2F"/>
    <w:rsid w:val="00FA24F5"/>
    <w:rsid w:val="00FA26CE"/>
    <w:rsid w:val="00FA29EA"/>
    <w:rsid w:val="00FA2C21"/>
    <w:rsid w:val="00FA2ED8"/>
    <w:rsid w:val="00FA2EF7"/>
    <w:rsid w:val="00FA3102"/>
    <w:rsid w:val="00FA39BD"/>
    <w:rsid w:val="00FA3C83"/>
    <w:rsid w:val="00FA3CB4"/>
    <w:rsid w:val="00FA48D4"/>
    <w:rsid w:val="00FA4E55"/>
    <w:rsid w:val="00FA52A9"/>
    <w:rsid w:val="00FA544B"/>
    <w:rsid w:val="00FA54FA"/>
    <w:rsid w:val="00FA58A3"/>
    <w:rsid w:val="00FA59B4"/>
    <w:rsid w:val="00FA5B29"/>
    <w:rsid w:val="00FA5B8E"/>
    <w:rsid w:val="00FA5C37"/>
    <w:rsid w:val="00FA5F8F"/>
    <w:rsid w:val="00FA60B2"/>
    <w:rsid w:val="00FA6431"/>
    <w:rsid w:val="00FA66F0"/>
    <w:rsid w:val="00FA67EA"/>
    <w:rsid w:val="00FA698A"/>
    <w:rsid w:val="00FA6D39"/>
    <w:rsid w:val="00FA74A8"/>
    <w:rsid w:val="00FA763C"/>
    <w:rsid w:val="00FA767C"/>
    <w:rsid w:val="00FA7B92"/>
    <w:rsid w:val="00FB03BA"/>
    <w:rsid w:val="00FB064A"/>
    <w:rsid w:val="00FB0957"/>
    <w:rsid w:val="00FB0A29"/>
    <w:rsid w:val="00FB0AB3"/>
    <w:rsid w:val="00FB0B89"/>
    <w:rsid w:val="00FB0B99"/>
    <w:rsid w:val="00FB0BF5"/>
    <w:rsid w:val="00FB0E52"/>
    <w:rsid w:val="00FB0F9F"/>
    <w:rsid w:val="00FB1152"/>
    <w:rsid w:val="00FB122E"/>
    <w:rsid w:val="00FB1A22"/>
    <w:rsid w:val="00FB1ABE"/>
    <w:rsid w:val="00FB1B3D"/>
    <w:rsid w:val="00FB1EC4"/>
    <w:rsid w:val="00FB227E"/>
    <w:rsid w:val="00FB228A"/>
    <w:rsid w:val="00FB25D8"/>
    <w:rsid w:val="00FB2C0F"/>
    <w:rsid w:val="00FB2D63"/>
    <w:rsid w:val="00FB2D82"/>
    <w:rsid w:val="00FB2F2B"/>
    <w:rsid w:val="00FB316B"/>
    <w:rsid w:val="00FB32F0"/>
    <w:rsid w:val="00FB3347"/>
    <w:rsid w:val="00FB3859"/>
    <w:rsid w:val="00FB3D38"/>
    <w:rsid w:val="00FB3D61"/>
    <w:rsid w:val="00FB40A6"/>
    <w:rsid w:val="00FB421A"/>
    <w:rsid w:val="00FB44CE"/>
    <w:rsid w:val="00FB48F8"/>
    <w:rsid w:val="00FB4AEB"/>
    <w:rsid w:val="00FB4CD0"/>
    <w:rsid w:val="00FB5009"/>
    <w:rsid w:val="00FB579F"/>
    <w:rsid w:val="00FB587D"/>
    <w:rsid w:val="00FB5914"/>
    <w:rsid w:val="00FB5B0F"/>
    <w:rsid w:val="00FB5C5C"/>
    <w:rsid w:val="00FB6253"/>
    <w:rsid w:val="00FB643A"/>
    <w:rsid w:val="00FB643E"/>
    <w:rsid w:val="00FB6562"/>
    <w:rsid w:val="00FB681C"/>
    <w:rsid w:val="00FB7360"/>
    <w:rsid w:val="00FB74F6"/>
    <w:rsid w:val="00FB76AB"/>
    <w:rsid w:val="00FB76D1"/>
    <w:rsid w:val="00FB7924"/>
    <w:rsid w:val="00FB794D"/>
    <w:rsid w:val="00FB7D8F"/>
    <w:rsid w:val="00FB7F97"/>
    <w:rsid w:val="00FC00A1"/>
    <w:rsid w:val="00FC0419"/>
    <w:rsid w:val="00FC063B"/>
    <w:rsid w:val="00FC0696"/>
    <w:rsid w:val="00FC0929"/>
    <w:rsid w:val="00FC098A"/>
    <w:rsid w:val="00FC0A08"/>
    <w:rsid w:val="00FC1030"/>
    <w:rsid w:val="00FC12CA"/>
    <w:rsid w:val="00FC133A"/>
    <w:rsid w:val="00FC19BA"/>
    <w:rsid w:val="00FC1AFC"/>
    <w:rsid w:val="00FC208D"/>
    <w:rsid w:val="00FC24DB"/>
    <w:rsid w:val="00FC2888"/>
    <w:rsid w:val="00FC2936"/>
    <w:rsid w:val="00FC2ACE"/>
    <w:rsid w:val="00FC2DC2"/>
    <w:rsid w:val="00FC2F84"/>
    <w:rsid w:val="00FC36A1"/>
    <w:rsid w:val="00FC3719"/>
    <w:rsid w:val="00FC3AF4"/>
    <w:rsid w:val="00FC3B25"/>
    <w:rsid w:val="00FC3DDA"/>
    <w:rsid w:val="00FC3E0C"/>
    <w:rsid w:val="00FC3E0F"/>
    <w:rsid w:val="00FC41A6"/>
    <w:rsid w:val="00FC425E"/>
    <w:rsid w:val="00FC4364"/>
    <w:rsid w:val="00FC444F"/>
    <w:rsid w:val="00FC487A"/>
    <w:rsid w:val="00FC4D20"/>
    <w:rsid w:val="00FC50CA"/>
    <w:rsid w:val="00FC5386"/>
    <w:rsid w:val="00FC5604"/>
    <w:rsid w:val="00FC56E1"/>
    <w:rsid w:val="00FC57F1"/>
    <w:rsid w:val="00FC5D65"/>
    <w:rsid w:val="00FC67A9"/>
    <w:rsid w:val="00FC6C34"/>
    <w:rsid w:val="00FC6F77"/>
    <w:rsid w:val="00FC7376"/>
    <w:rsid w:val="00FC769D"/>
    <w:rsid w:val="00FC76A4"/>
    <w:rsid w:val="00FC76B2"/>
    <w:rsid w:val="00FC7873"/>
    <w:rsid w:val="00FC7898"/>
    <w:rsid w:val="00FC78A9"/>
    <w:rsid w:val="00FC7992"/>
    <w:rsid w:val="00FC7B4E"/>
    <w:rsid w:val="00FC7C03"/>
    <w:rsid w:val="00FD00F7"/>
    <w:rsid w:val="00FD01B6"/>
    <w:rsid w:val="00FD03FE"/>
    <w:rsid w:val="00FD09B3"/>
    <w:rsid w:val="00FD1266"/>
    <w:rsid w:val="00FD126E"/>
    <w:rsid w:val="00FD1388"/>
    <w:rsid w:val="00FD1591"/>
    <w:rsid w:val="00FD1779"/>
    <w:rsid w:val="00FD17BF"/>
    <w:rsid w:val="00FD186D"/>
    <w:rsid w:val="00FD19E2"/>
    <w:rsid w:val="00FD19FA"/>
    <w:rsid w:val="00FD1E10"/>
    <w:rsid w:val="00FD2221"/>
    <w:rsid w:val="00FD23A3"/>
    <w:rsid w:val="00FD2941"/>
    <w:rsid w:val="00FD2A54"/>
    <w:rsid w:val="00FD3028"/>
    <w:rsid w:val="00FD334B"/>
    <w:rsid w:val="00FD34B7"/>
    <w:rsid w:val="00FD3B08"/>
    <w:rsid w:val="00FD3C36"/>
    <w:rsid w:val="00FD3D1C"/>
    <w:rsid w:val="00FD43E7"/>
    <w:rsid w:val="00FD440A"/>
    <w:rsid w:val="00FD46F8"/>
    <w:rsid w:val="00FD47CC"/>
    <w:rsid w:val="00FD4877"/>
    <w:rsid w:val="00FD4913"/>
    <w:rsid w:val="00FD49AB"/>
    <w:rsid w:val="00FD4A64"/>
    <w:rsid w:val="00FD4C70"/>
    <w:rsid w:val="00FD4D81"/>
    <w:rsid w:val="00FD4DC0"/>
    <w:rsid w:val="00FD4FFE"/>
    <w:rsid w:val="00FD5441"/>
    <w:rsid w:val="00FD59AE"/>
    <w:rsid w:val="00FD5B10"/>
    <w:rsid w:val="00FD5B27"/>
    <w:rsid w:val="00FD5B81"/>
    <w:rsid w:val="00FD5B8D"/>
    <w:rsid w:val="00FD5B92"/>
    <w:rsid w:val="00FD5D0B"/>
    <w:rsid w:val="00FD61A4"/>
    <w:rsid w:val="00FD63FF"/>
    <w:rsid w:val="00FD6866"/>
    <w:rsid w:val="00FD6966"/>
    <w:rsid w:val="00FD6A85"/>
    <w:rsid w:val="00FD6B60"/>
    <w:rsid w:val="00FD6CF4"/>
    <w:rsid w:val="00FD7498"/>
    <w:rsid w:val="00FD775C"/>
    <w:rsid w:val="00FD782B"/>
    <w:rsid w:val="00FD7ABE"/>
    <w:rsid w:val="00FD7B0E"/>
    <w:rsid w:val="00FD7CB4"/>
    <w:rsid w:val="00FD7FB3"/>
    <w:rsid w:val="00FE03F4"/>
    <w:rsid w:val="00FE0572"/>
    <w:rsid w:val="00FE05CE"/>
    <w:rsid w:val="00FE08E9"/>
    <w:rsid w:val="00FE0AC0"/>
    <w:rsid w:val="00FE0AC4"/>
    <w:rsid w:val="00FE0C5A"/>
    <w:rsid w:val="00FE0F00"/>
    <w:rsid w:val="00FE162D"/>
    <w:rsid w:val="00FE1C04"/>
    <w:rsid w:val="00FE1E35"/>
    <w:rsid w:val="00FE2083"/>
    <w:rsid w:val="00FE21EB"/>
    <w:rsid w:val="00FE244B"/>
    <w:rsid w:val="00FE2748"/>
    <w:rsid w:val="00FE2CA3"/>
    <w:rsid w:val="00FE2FC8"/>
    <w:rsid w:val="00FE3037"/>
    <w:rsid w:val="00FE31E0"/>
    <w:rsid w:val="00FE34C3"/>
    <w:rsid w:val="00FE35DF"/>
    <w:rsid w:val="00FE35E9"/>
    <w:rsid w:val="00FE3D9D"/>
    <w:rsid w:val="00FE3F10"/>
    <w:rsid w:val="00FE41CA"/>
    <w:rsid w:val="00FE4510"/>
    <w:rsid w:val="00FE4565"/>
    <w:rsid w:val="00FE4583"/>
    <w:rsid w:val="00FE45B0"/>
    <w:rsid w:val="00FE4646"/>
    <w:rsid w:val="00FE4713"/>
    <w:rsid w:val="00FE4D03"/>
    <w:rsid w:val="00FE4F41"/>
    <w:rsid w:val="00FE4FE5"/>
    <w:rsid w:val="00FE575D"/>
    <w:rsid w:val="00FE5CB5"/>
    <w:rsid w:val="00FE5F4D"/>
    <w:rsid w:val="00FE613A"/>
    <w:rsid w:val="00FE6198"/>
    <w:rsid w:val="00FE6897"/>
    <w:rsid w:val="00FE68A1"/>
    <w:rsid w:val="00FE6A15"/>
    <w:rsid w:val="00FE6D21"/>
    <w:rsid w:val="00FE6F1C"/>
    <w:rsid w:val="00FE72ED"/>
    <w:rsid w:val="00FE7A98"/>
    <w:rsid w:val="00FE7DC9"/>
    <w:rsid w:val="00FF00C5"/>
    <w:rsid w:val="00FF072A"/>
    <w:rsid w:val="00FF17EB"/>
    <w:rsid w:val="00FF1980"/>
    <w:rsid w:val="00FF1BDF"/>
    <w:rsid w:val="00FF1CC9"/>
    <w:rsid w:val="00FF1CE1"/>
    <w:rsid w:val="00FF1DB9"/>
    <w:rsid w:val="00FF1F44"/>
    <w:rsid w:val="00FF225E"/>
    <w:rsid w:val="00FF23BD"/>
    <w:rsid w:val="00FF273A"/>
    <w:rsid w:val="00FF2859"/>
    <w:rsid w:val="00FF28FD"/>
    <w:rsid w:val="00FF31BD"/>
    <w:rsid w:val="00FF321C"/>
    <w:rsid w:val="00FF32B9"/>
    <w:rsid w:val="00FF3711"/>
    <w:rsid w:val="00FF38D4"/>
    <w:rsid w:val="00FF3950"/>
    <w:rsid w:val="00FF3ED8"/>
    <w:rsid w:val="00FF3F78"/>
    <w:rsid w:val="00FF40AB"/>
    <w:rsid w:val="00FF4192"/>
    <w:rsid w:val="00FF442E"/>
    <w:rsid w:val="00FF47EC"/>
    <w:rsid w:val="00FF487B"/>
    <w:rsid w:val="00FF4E43"/>
    <w:rsid w:val="00FF5186"/>
    <w:rsid w:val="00FF553D"/>
    <w:rsid w:val="00FF5809"/>
    <w:rsid w:val="00FF5881"/>
    <w:rsid w:val="00FF5B8C"/>
    <w:rsid w:val="00FF5F2E"/>
    <w:rsid w:val="00FF63E1"/>
    <w:rsid w:val="00FF65AC"/>
    <w:rsid w:val="00FF672C"/>
    <w:rsid w:val="00FF6857"/>
    <w:rsid w:val="00FF6A27"/>
    <w:rsid w:val="00FF6BDE"/>
    <w:rsid w:val="00FF6CE3"/>
    <w:rsid w:val="00FF6CE8"/>
    <w:rsid w:val="00FF7170"/>
    <w:rsid w:val="00FF74DC"/>
    <w:rsid w:val="44A6B53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D10236"/>
  <w14:defaultImageDpi w14:val="330"/>
  <w15:docId w15:val="{B1B452B9-BFAB-4025-A245-646CC457FA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429BC"/>
    <w:pPr>
      <w:spacing w:line="480" w:lineRule="auto"/>
    </w:pPr>
    <w:rPr>
      <w:sz w:val="24"/>
      <w:szCs w:val="24"/>
    </w:rPr>
  </w:style>
  <w:style w:type="paragraph" w:styleId="Heading1">
    <w:name w:val="heading 1"/>
    <w:basedOn w:val="Normal"/>
    <w:next w:val="Paragraph"/>
    <w:link w:val="Heading1Char"/>
    <w:autoRedefine/>
    <w:qFormat/>
    <w:rsid w:val="00C03540"/>
    <w:pPr>
      <w:keepNext/>
      <w:spacing w:before="360" w:after="120" w:line="360" w:lineRule="auto"/>
      <w:ind w:right="567"/>
      <w:contextualSpacing/>
      <w:outlineLvl w:val="0"/>
    </w:pPr>
    <w:rPr>
      <w:rFonts w:asciiTheme="minorHAnsi" w:hAnsiTheme="minorHAnsi" w:cs="Arial"/>
      <w:b/>
      <w:bCs/>
      <w:kern w:val="32"/>
      <w:sz w:val="26"/>
      <w:szCs w:val="32"/>
    </w:rPr>
  </w:style>
  <w:style w:type="paragraph" w:styleId="Heading2">
    <w:name w:val="heading 2"/>
    <w:basedOn w:val="Normal"/>
    <w:next w:val="Paragraph"/>
    <w:link w:val="Heading2Char"/>
    <w:autoRedefine/>
    <w:qFormat/>
    <w:rsid w:val="003370C1"/>
    <w:pPr>
      <w:keepNext/>
      <w:spacing w:before="240" w:after="60" w:line="360" w:lineRule="auto"/>
      <w:ind w:right="567"/>
      <w:contextualSpacing/>
      <w:outlineLvl w:val="1"/>
    </w:pPr>
    <w:rPr>
      <w:rFonts w:ascii="Calibri" w:hAnsi="Calibri" w:cs="Arial"/>
      <w:b/>
      <w:bCs/>
      <w:iCs/>
      <w:szCs w:val="28"/>
    </w:rPr>
  </w:style>
  <w:style w:type="paragraph" w:styleId="Heading3">
    <w:name w:val="heading 3"/>
    <w:basedOn w:val="Normal"/>
    <w:next w:val="Paragraph"/>
    <w:link w:val="Heading3Char"/>
    <w:autoRedefine/>
    <w:qFormat/>
    <w:rsid w:val="004058F9"/>
    <w:pPr>
      <w:keepNext/>
      <w:spacing w:before="120" w:after="60" w:line="360" w:lineRule="auto"/>
      <w:ind w:right="567"/>
      <w:contextualSpacing/>
      <w:outlineLvl w:val="2"/>
    </w:pPr>
    <w:rPr>
      <w:rFonts w:cs="Arial"/>
      <w:bCs/>
      <w:i/>
      <w:szCs w:val="26"/>
    </w:rPr>
  </w:style>
  <w:style w:type="paragraph" w:styleId="Heading4">
    <w:name w:val="heading 4"/>
    <w:basedOn w:val="Paragraph"/>
    <w:next w:val="Newparagraph"/>
    <w:link w:val="Heading4Char"/>
    <w:rsid w:val="00F43B9D"/>
    <w:pPr>
      <w:spacing w:before="360"/>
      <w:outlineLvl w:val="3"/>
    </w:pPr>
    <w:rPr>
      <w:bCs/>
      <w:szCs w:val="28"/>
    </w:rPr>
  </w:style>
  <w:style w:type="paragraph" w:styleId="Heading5">
    <w:name w:val="heading 5"/>
    <w:basedOn w:val="Normal"/>
    <w:next w:val="Normal"/>
    <w:link w:val="Heading5Char"/>
    <w:rsid w:val="007750DB"/>
    <w:pPr>
      <w:keepNext/>
      <w:keepLines/>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rsid w:val="007750DB"/>
    <w:pPr>
      <w:keepNext/>
      <w:keepLines/>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semiHidden/>
    <w:unhideWhenUsed/>
    <w:rsid w:val="007750DB"/>
    <w:pPr>
      <w:keepNext/>
      <w:keepLines/>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semiHidden/>
    <w:unhideWhenUsed/>
    <w:rsid w:val="007750DB"/>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semiHidden/>
    <w:unhideWhenUsed/>
    <w:rsid w:val="007750DB"/>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ticletitle">
    <w:name w:val="Article title"/>
    <w:basedOn w:val="Normal"/>
    <w:next w:val="Normal"/>
    <w:qFormat/>
    <w:rsid w:val="005B6DAC"/>
    <w:pPr>
      <w:spacing w:line="360" w:lineRule="auto"/>
    </w:pPr>
    <w:rPr>
      <w:b/>
      <w:sz w:val="28"/>
    </w:rPr>
  </w:style>
  <w:style w:type="paragraph" w:customStyle="1" w:styleId="Authornames">
    <w:name w:val="Author names"/>
    <w:basedOn w:val="Normal"/>
    <w:next w:val="Normal"/>
    <w:qFormat/>
    <w:rsid w:val="00F04900"/>
    <w:pPr>
      <w:spacing w:before="240" w:line="360" w:lineRule="auto"/>
    </w:pPr>
    <w:rPr>
      <w:sz w:val="28"/>
    </w:rPr>
  </w:style>
  <w:style w:type="paragraph" w:customStyle="1" w:styleId="Affiliation">
    <w:name w:val="Affiliation"/>
    <w:basedOn w:val="Normal"/>
    <w:qFormat/>
    <w:rsid w:val="00F04900"/>
    <w:pPr>
      <w:spacing w:before="240" w:line="360" w:lineRule="auto"/>
    </w:pPr>
    <w:rPr>
      <w:i/>
    </w:rPr>
  </w:style>
  <w:style w:type="paragraph" w:customStyle="1" w:styleId="Receiveddates">
    <w:name w:val="Received dates"/>
    <w:basedOn w:val="Affiliation"/>
    <w:next w:val="Normal"/>
    <w:qFormat/>
    <w:rsid w:val="00CC474B"/>
  </w:style>
  <w:style w:type="paragraph" w:customStyle="1" w:styleId="Abstract">
    <w:name w:val="Abstract"/>
    <w:basedOn w:val="Normal"/>
    <w:next w:val="Keywords"/>
    <w:qFormat/>
    <w:rsid w:val="00DA055C"/>
    <w:pPr>
      <w:spacing w:before="360" w:after="300" w:line="240" w:lineRule="auto"/>
      <w:ind w:right="567"/>
      <w:jc w:val="both"/>
    </w:pPr>
    <w:rPr>
      <w:sz w:val="22"/>
    </w:rPr>
  </w:style>
  <w:style w:type="paragraph" w:customStyle="1" w:styleId="Keywords">
    <w:name w:val="Keywords"/>
    <w:basedOn w:val="Normal"/>
    <w:next w:val="Paragraph"/>
    <w:qFormat/>
    <w:rsid w:val="00DA055C"/>
    <w:pPr>
      <w:spacing w:before="240" w:after="240" w:line="240" w:lineRule="auto"/>
      <w:ind w:right="567"/>
    </w:pPr>
    <w:rPr>
      <w:sz w:val="22"/>
    </w:rPr>
  </w:style>
  <w:style w:type="paragraph" w:customStyle="1" w:styleId="Correspondencedetails">
    <w:name w:val="Correspondence details"/>
    <w:basedOn w:val="Normal"/>
    <w:qFormat/>
    <w:rsid w:val="00F04900"/>
    <w:pPr>
      <w:spacing w:before="240" w:line="360" w:lineRule="auto"/>
    </w:pPr>
  </w:style>
  <w:style w:type="paragraph" w:customStyle="1" w:styleId="Displayedquotation">
    <w:name w:val="Displayed quotation"/>
    <w:basedOn w:val="Normal"/>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1"/>
      </w:numPr>
      <w:contextualSpacing/>
    </w:pPr>
  </w:style>
  <w:style w:type="paragraph" w:customStyle="1" w:styleId="Displayedequation">
    <w:name w:val="Displayed equation"/>
    <w:basedOn w:val="Normal"/>
    <w:next w:val="Paragraph"/>
    <w:qFormat/>
    <w:rsid w:val="00EF0F45"/>
    <w:pPr>
      <w:tabs>
        <w:tab w:val="center" w:pos="4253"/>
        <w:tab w:val="right" w:pos="8222"/>
      </w:tabs>
      <w:spacing w:before="240" w:after="240"/>
      <w:jc w:val="center"/>
    </w:pPr>
  </w:style>
  <w:style w:type="paragraph" w:customStyle="1" w:styleId="Acknowledgements">
    <w:name w:val="Acknowledgements"/>
    <w:basedOn w:val="Normal"/>
    <w:next w:val="Normal"/>
    <w:qFormat/>
    <w:rsid w:val="00D379A3"/>
    <w:pPr>
      <w:spacing w:before="120" w:line="360" w:lineRule="auto"/>
    </w:pPr>
    <w:rPr>
      <w:sz w:val="22"/>
    </w:rPr>
  </w:style>
  <w:style w:type="paragraph" w:customStyle="1" w:styleId="Tabletitle">
    <w:name w:val="Table title"/>
    <w:basedOn w:val="Normal"/>
    <w:next w:val="Normal"/>
    <w:qFormat/>
    <w:rsid w:val="007925DC"/>
    <w:pPr>
      <w:spacing w:before="240" w:after="120" w:line="240" w:lineRule="auto"/>
      <w:jc w:val="center"/>
    </w:pPr>
    <w:rPr>
      <w:sz w:val="22"/>
    </w:rPr>
  </w:style>
  <w:style w:type="paragraph" w:customStyle="1" w:styleId="Figurecaption">
    <w:name w:val="Figure caption"/>
    <w:basedOn w:val="Normal"/>
    <w:next w:val="Normal"/>
    <w:qFormat/>
    <w:rsid w:val="0031686C"/>
    <w:pPr>
      <w:spacing w:before="240" w:line="360" w:lineRule="auto"/>
    </w:pPr>
  </w:style>
  <w:style w:type="paragraph" w:customStyle="1" w:styleId="Footnotes">
    <w:name w:val="Footnotes"/>
    <w:basedOn w:val="Normal"/>
    <w:qFormat/>
    <w:rsid w:val="00841B07"/>
    <w:pPr>
      <w:spacing w:before="120" w:line="276" w:lineRule="auto"/>
      <w:ind w:left="170" w:hanging="170"/>
      <w:contextualSpacing/>
    </w:pPr>
    <w:rPr>
      <w:sz w:val="22"/>
    </w:rPr>
  </w:style>
  <w:style w:type="paragraph" w:customStyle="1" w:styleId="Notesoncontributors">
    <w:name w:val="Notes on contributors"/>
    <w:basedOn w:val="Normal"/>
    <w:qFormat/>
    <w:rsid w:val="00F04900"/>
    <w:pPr>
      <w:spacing w:before="240" w:line="360" w:lineRule="auto"/>
    </w:pPr>
    <w:rPr>
      <w:sz w:val="22"/>
    </w:rPr>
  </w:style>
  <w:style w:type="paragraph" w:customStyle="1" w:styleId="Normalparagraphstyle">
    <w:name w:val="Normal paragraph style"/>
    <w:basedOn w:val="Normal"/>
    <w:next w:val="Normal"/>
    <w:rsid w:val="00562DEF"/>
  </w:style>
  <w:style w:type="paragraph" w:customStyle="1" w:styleId="Paragraph">
    <w:name w:val="Paragraph"/>
    <w:basedOn w:val="Normal"/>
    <w:next w:val="Newparagraph"/>
    <w:link w:val="ParagraphChar"/>
    <w:qFormat/>
    <w:rsid w:val="00DB55E6"/>
    <w:pPr>
      <w:widowControl w:val="0"/>
      <w:spacing w:before="240" w:after="240" w:line="360" w:lineRule="auto"/>
      <w:jc w:val="both"/>
    </w:pPr>
  </w:style>
  <w:style w:type="paragraph" w:customStyle="1" w:styleId="Newparagraph">
    <w:name w:val="New paragraph"/>
    <w:basedOn w:val="Normal"/>
    <w:qFormat/>
    <w:rsid w:val="000509E7"/>
    <w:pPr>
      <w:spacing w:before="240" w:line="360" w:lineRule="auto"/>
      <w:jc w:val="both"/>
    </w:pPr>
  </w:style>
  <w:style w:type="paragraph" w:styleId="NormalIndent">
    <w:name w:val="Normal Indent"/>
    <w:basedOn w:val="Normal"/>
    <w:rsid w:val="00526454"/>
    <w:pPr>
      <w:ind w:left="720"/>
    </w:pPr>
  </w:style>
  <w:style w:type="paragraph" w:customStyle="1" w:styleId="References">
    <w:name w:val="References"/>
    <w:basedOn w:val="Normal"/>
    <w:autoRedefine/>
    <w:qFormat/>
    <w:rsid w:val="00B70933"/>
    <w:pPr>
      <w:spacing w:before="120" w:line="360" w:lineRule="auto"/>
      <w:ind w:left="720" w:hanging="720"/>
      <w:contextualSpacing/>
    </w:pPr>
    <w:rPr>
      <w:rFonts w:ascii="Calibri" w:hAnsi="Calibri"/>
      <w:sz w:val="18"/>
    </w:rPr>
  </w:style>
  <w:style w:type="paragraph" w:customStyle="1" w:styleId="Subjectcodes">
    <w:name w:val="Subject codes"/>
    <w:basedOn w:val="Keywords"/>
    <w:next w:val="Paragraph"/>
    <w:qFormat/>
    <w:rsid w:val="0000681B"/>
  </w:style>
  <w:style w:type="character" w:customStyle="1" w:styleId="Heading2Char">
    <w:name w:val="Heading 2 Char"/>
    <w:basedOn w:val="DefaultParagraphFont"/>
    <w:link w:val="Heading2"/>
    <w:rsid w:val="003370C1"/>
    <w:rPr>
      <w:rFonts w:ascii="Calibri" w:hAnsi="Calibri" w:cs="Arial"/>
      <w:b/>
      <w:bCs/>
      <w:iCs/>
      <w:sz w:val="24"/>
      <w:szCs w:val="28"/>
    </w:rPr>
  </w:style>
  <w:style w:type="character" w:customStyle="1" w:styleId="Heading1Char">
    <w:name w:val="Heading 1 Char"/>
    <w:basedOn w:val="DefaultParagraphFont"/>
    <w:link w:val="Heading1"/>
    <w:rsid w:val="00C03540"/>
    <w:rPr>
      <w:rFonts w:asciiTheme="minorHAnsi" w:hAnsiTheme="minorHAnsi" w:cs="Arial"/>
      <w:b/>
      <w:bCs/>
      <w:kern w:val="32"/>
      <w:sz w:val="26"/>
      <w:szCs w:val="32"/>
    </w:rPr>
  </w:style>
  <w:style w:type="character" w:customStyle="1" w:styleId="Heading3Char">
    <w:name w:val="Heading 3 Char"/>
    <w:basedOn w:val="DefaultParagraphFont"/>
    <w:link w:val="Heading3"/>
    <w:rsid w:val="004058F9"/>
    <w:rPr>
      <w:rFonts w:cs="Arial"/>
      <w:bCs/>
      <w:i/>
      <w:sz w:val="24"/>
      <w:szCs w:val="26"/>
    </w:rPr>
  </w:style>
  <w:style w:type="paragraph" w:customStyle="1" w:styleId="Bulletedlist">
    <w:name w:val="Bulleted list"/>
    <w:basedOn w:val="Paragraph"/>
    <w:next w:val="Paragraph"/>
    <w:qFormat/>
    <w:rsid w:val="004E0338"/>
    <w:pPr>
      <w:widowControl/>
      <w:numPr>
        <w:numId w:val="2"/>
      </w:numPr>
      <w:contextualSpacing/>
    </w:pPr>
  </w:style>
  <w:style w:type="paragraph" w:styleId="FootnoteText">
    <w:name w:val="footnote text"/>
    <w:basedOn w:val="Normal"/>
    <w:link w:val="FootnoteTextChar"/>
    <w:autoRedefine/>
    <w:rsid w:val="006C19B2"/>
    <w:pPr>
      <w:ind w:left="284" w:hanging="284"/>
    </w:pPr>
    <w:rPr>
      <w:sz w:val="22"/>
      <w:szCs w:val="20"/>
    </w:rPr>
  </w:style>
  <w:style w:type="character" w:customStyle="1" w:styleId="FootnoteTextChar">
    <w:name w:val="Footnote Text Char"/>
    <w:basedOn w:val="DefaultParagraphFont"/>
    <w:link w:val="FootnoteText"/>
    <w:rsid w:val="006C19B2"/>
    <w:rPr>
      <w:sz w:val="22"/>
    </w:rPr>
  </w:style>
  <w:style w:type="character" w:styleId="FootnoteReference">
    <w:name w:val="footnote reference"/>
    <w:basedOn w:val="DefaultParagraphFont"/>
    <w:rsid w:val="00AF2C92"/>
    <w:rPr>
      <w:vertAlign w:val="superscript"/>
    </w:rPr>
  </w:style>
  <w:style w:type="paragraph" w:styleId="EndnoteText">
    <w:name w:val="endnote text"/>
    <w:basedOn w:val="Normal"/>
    <w:link w:val="EndnoteTextChar"/>
    <w:autoRedefine/>
    <w:rsid w:val="006C19B2"/>
    <w:pPr>
      <w:ind w:left="284" w:hanging="284"/>
    </w:pPr>
    <w:rPr>
      <w:sz w:val="22"/>
      <w:szCs w:val="20"/>
    </w:rPr>
  </w:style>
  <w:style w:type="character" w:customStyle="1" w:styleId="EndnoteTextChar">
    <w:name w:val="Endnote Text Char"/>
    <w:basedOn w:val="DefaultParagraphFont"/>
    <w:link w:val="EndnoteText"/>
    <w:rsid w:val="006C19B2"/>
    <w:rPr>
      <w:sz w:val="22"/>
    </w:rPr>
  </w:style>
  <w:style w:type="character" w:styleId="EndnoteReference">
    <w:name w:val="endnote reference"/>
    <w:basedOn w:val="DefaultParagraphFont"/>
    <w:rsid w:val="00EC571B"/>
    <w:rPr>
      <w:vertAlign w:val="superscript"/>
    </w:rPr>
  </w:style>
  <w:style w:type="character" w:customStyle="1" w:styleId="Heading4Char">
    <w:name w:val="Heading 4 Char"/>
    <w:basedOn w:val="DefaultParagraphFont"/>
    <w:link w:val="Heading4"/>
    <w:rsid w:val="00F43B9D"/>
    <w:rPr>
      <w:bCs/>
      <w:sz w:val="24"/>
      <w:szCs w:val="28"/>
    </w:rPr>
  </w:style>
  <w:style w:type="paragraph" w:styleId="Header">
    <w:name w:val="header"/>
    <w:basedOn w:val="Normal"/>
    <w:link w:val="HeaderChar"/>
    <w:rsid w:val="003F193A"/>
    <w:pPr>
      <w:tabs>
        <w:tab w:val="center" w:pos="4320"/>
        <w:tab w:val="right" w:pos="8640"/>
      </w:tabs>
      <w:spacing w:after="120" w:line="240" w:lineRule="auto"/>
      <w:contextualSpacing/>
    </w:pPr>
  </w:style>
  <w:style w:type="character" w:customStyle="1" w:styleId="HeaderChar">
    <w:name w:val="Header Char"/>
    <w:basedOn w:val="DefaultParagraphFont"/>
    <w:link w:val="Header"/>
    <w:rsid w:val="003F193A"/>
    <w:rPr>
      <w:rFonts w:eastAsia="Times New Roman"/>
      <w:sz w:val="24"/>
      <w:szCs w:val="24"/>
      <w:lang w:eastAsia="en-GB"/>
    </w:rPr>
  </w:style>
  <w:style w:type="paragraph" w:styleId="Footer">
    <w:name w:val="footer"/>
    <w:basedOn w:val="Normal"/>
    <w:link w:val="FooterChar"/>
    <w:uiPriority w:val="99"/>
    <w:rsid w:val="00AE6A21"/>
    <w:pPr>
      <w:tabs>
        <w:tab w:val="center" w:pos="4320"/>
        <w:tab w:val="right" w:pos="8640"/>
      </w:tabs>
      <w:spacing w:before="240" w:line="240" w:lineRule="auto"/>
      <w:contextualSpacing/>
    </w:pPr>
  </w:style>
  <w:style w:type="character" w:customStyle="1" w:styleId="FooterChar">
    <w:name w:val="Footer Char"/>
    <w:basedOn w:val="DefaultParagraphFont"/>
    <w:link w:val="Footer"/>
    <w:uiPriority w:val="99"/>
    <w:rsid w:val="00AE6A21"/>
    <w:rPr>
      <w:sz w:val="24"/>
      <w:szCs w:val="24"/>
    </w:rPr>
  </w:style>
  <w:style w:type="paragraph" w:customStyle="1" w:styleId="Heading4Paragraph">
    <w:name w:val="Heading 4 + Paragraph"/>
    <w:basedOn w:val="Paragraph"/>
    <w:next w:val="Newparagraph"/>
    <w:qFormat/>
    <w:rsid w:val="00AE1ED4"/>
    <w:pPr>
      <w:widowControl/>
      <w:spacing w:before="360"/>
    </w:pPr>
  </w:style>
  <w:style w:type="character" w:styleId="CommentReference">
    <w:name w:val="annotation reference"/>
    <w:basedOn w:val="DefaultParagraphFont"/>
    <w:semiHidden/>
    <w:unhideWhenUsed/>
    <w:rsid w:val="006026D6"/>
    <w:rPr>
      <w:sz w:val="16"/>
      <w:szCs w:val="16"/>
    </w:rPr>
  </w:style>
  <w:style w:type="paragraph" w:styleId="CommentText">
    <w:name w:val="annotation text"/>
    <w:basedOn w:val="Normal"/>
    <w:link w:val="CommentTextChar"/>
    <w:unhideWhenUsed/>
    <w:rsid w:val="006026D6"/>
    <w:pPr>
      <w:spacing w:line="240" w:lineRule="auto"/>
    </w:pPr>
    <w:rPr>
      <w:sz w:val="20"/>
      <w:szCs w:val="20"/>
    </w:rPr>
  </w:style>
  <w:style w:type="character" w:customStyle="1" w:styleId="CommentTextChar">
    <w:name w:val="Comment Text Char"/>
    <w:basedOn w:val="DefaultParagraphFont"/>
    <w:link w:val="CommentText"/>
    <w:rsid w:val="006026D6"/>
  </w:style>
  <w:style w:type="paragraph" w:styleId="CommentSubject">
    <w:name w:val="annotation subject"/>
    <w:basedOn w:val="CommentText"/>
    <w:next w:val="CommentText"/>
    <w:link w:val="CommentSubjectChar"/>
    <w:semiHidden/>
    <w:unhideWhenUsed/>
    <w:rsid w:val="006026D6"/>
    <w:rPr>
      <w:b/>
      <w:bCs/>
    </w:rPr>
  </w:style>
  <w:style w:type="character" w:customStyle="1" w:styleId="CommentSubjectChar">
    <w:name w:val="Comment Subject Char"/>
    <w:basedOn w:val="CommentTextChar"/>
    <w:link w:val="CommentSubject"/>
    <w:semiHidden/>
    <w:rsid w:val="006026D6"/>
    <w:rPr>
      <w:b/>
      <w:bCs/>
    </w:rPr>
  </w:style>
  <w:style w:type="paragraph" w:styleId="BalloonText">
    <w:name w:val="Balloon Text"/>
    <w:basedOn w:val="Normal"/>
    <w:link w:val="BalloonTextChar"/>
    <w:semiHidden/>
    <w:unhideWhenUsed/>
    <w:rsid w:val="006026D6"/>
    <w:pPr>
      <w:spacing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6026D6"/>
    <w:rPr>
      <w:rFonts w:ascii="Segoe UI" w:hAnsi="Segoe UI" w:cs="Segoe UI"/>
      <w:sz w:val="18"/>
      <w:szCs w:val="18"/>
    </w:rPr>
  </w:style>
  <w:style w:type="character" w:styleId="Hyperlink">
    <w:name w:val="Hyperlink"/>
    <w:basedOn w:val="DefaultParagraphFont"/>
    <w:unhideWhenUsed/>
    <w:rsid w:val="005722F5"/>
    <w:rPr>
      <w:color w:val="0000FF" w:themeColor="hyperlink"/>
      <w:u w:val="single"/>
    </w:rPr>
  </w:style>
  <w:style w:type="table" w:styleId="TableGrid">
    <w:name w:val="Table Grid"/>
    <w:basedOn w:val="TableNormal"/>
    <w:uiPriority w:val="39"/>
    <w:rsid w:val="00E84B42"/>
    <w:rPr>
      <w:rFonts w:ascii="Times" w:eastAsia="SimSun" w:hAnsi="Times"/>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1Flietext">
    <w:name w:val="01_Fließtext"/>
    <w:basedOn w:val="Normal"/>
    <w:link w:val="01FlietextChar"/>
    <w:autoRedefine/>
    <w:qFormat/>
    <w:rsid w:val="003370C1"/>
    <w:pPr>
      <w:spacing w:before="120" w:line="360" w:lineRule="auto"/>
      <w:jc w:val="both"/>
    </w:pPr>
    <w:rPr>
      <w:rFonts w:asciiTheme="minorHAnsi" w:hAnsiTheme="minorHAnsi" w:cstheme="minorHAnsi"/>
      <w:szCs w:val="22"/>
      <w:lang w:val="en-US" w:eastAsia="de-DE"/>
    </w:rPr>
  </w:style>
  <w:style w:type="character" w:customStyle="1" w:styleId="01FlietextChar">
    <w:name w:val="01_Fließtext Char"/>
    <w:basedOn w:val="DefaultParagraphFont"/>
    <w:link w:val="01Flietext"/>
    <w:rsid w:val="003370C1"/>
    <w:rPr>
      <w:rFonts w:asciiTheme="minorHAnsi" w:hAnsiTheme="minorHAnsi" w:cstheme="minorHAnsi"/>
      <w:sz w:val="24"/>
      <w:szCs w:val="22"/>
      <w:lang w:val="en-US" w:eastAsia="de-DE"/>
    </w:rPr>
  </w:style>
  <w:style w:type="paragraph" w:styleId="NormalWeb">
    <w:name w:val="Normal (Web)"/>
    <w:basedOn w:val="Normal"/>
    <w:uiPriority w:val="99"/>
    <w:semiHidden/>
    <w:unhideWhenUsed/>
    <w:rsid w:val="006374DF"/>
    <w:pPr>
      <w:spacing w:before="100" w:beforeAutospacing="1" w:after="100" w:afterAutospacing="1" w:line="240" w:lineRule="auto"/>
    </w:pPr>
    <w:rPr>
      <w:lang w:val="de-DE" w:eastAsia="de-DE"/>
    </w:rPr>
  </w:style>
  <w:style w:type="paragraph" w:styleId="ListParagraph">
    <w:name w:val="List Paragraph"/>
    <w:basedOn w:val="Normal"/>
    <w:rsid w:val="00165B89"/>
    <w:pPr>
      <w:ind w:left="720"/>
      <w:contextualSpacing/>
    </w:pPr>
  </w:style>
  <w:style w:type="character" w:styleId="PlaceholderText">
    <w:name w:val="Placeholder Text"/>
    <w:basedOn w:val="DefaultParagraphFont"/>
    <w:uiPriority w:val="99"/>
    <w:rsid w:val="007750DB"/>
    <w:rPr>
      <w:color w:val="808080"/>
    </w:rPr>
  </w:style>
  <w:style w:type="paragraph" w:customStyle="1" w:styleId="CitaviBibliographyEntry">
    <w:name w:val="Citavi Bibliography Entry"/>
    <w:basedOn w:val="Normal"/>
    <w:link w:val="CitaviBibliographyEntryChar"/>
    <w:autoRedefine/>
    <w:rsid w:val="00DB7134"/>
    <w:pPr>
      <w:tabs>
        <w:tab w:val="left" w:pos="340"/>
      </w:tabs>
      <w:spacing w:line="360" w:lineRule="auto"/>
      <w:ind w:left="340" w:hanging="340"/>
    </w:pPr>
    <w:rPr>
      <w:rFonts w:asciiTheme="minorHAnsi" w:hAnsiTheme="minorHAnsi"/>
      <w:sz w:val="20"/>
    </w:rPr>
  </w:style>
  <w:style w:type="character" w:customStyle="1" w:styleId="ParagraphChar">
    <w:name w:val="Paragraph Char"/>
    <w:basedOn w:val="DefaultParagraphFont"/>
    <w:link w:val="Paragraph"/>
    <w:rsid w:val="00DB55E6"/>
    <w:rPr>
      <w:sz w:val="24"/>
      <w:szCs w:val="24"/>
    </w:rPr>
  </w:style>
  <w:style w:type="character" w:customStyle="1" w:styleId="CitaviBibliographyEntryChar">
    <w:name w:val="Citavi Bibliography Entry Char"/>
    <w:basedOn w:val="ParagraphChar"/>
    <w:link w:val="CitaviBibliographyEntry"/>
    <w:rsid w:val="002429BC"/>
    <w:rPr>
      <w:rFonts w:asciiTheme="minorHAnsi" w:hAnsiTheme="minorHAnsi"/>
      <w:sz w:val="24"/>
      <w:szCs w:val="24"/>
    </w:rPr>
  </w:style>
  <w:style w:type="paragraph" w:customStyle="1" w:styleId="CitaviBibliographyHeading">
    <w:name w:val="Citavi Bibliography Heading"/>
    <w:basedOn w:val="Heading1"/>
    <w:link w:val="CitaviBibliographyHeadingChar"/>
    <w:rsid w:val="007750DB"/>
  </w:style>
  <w:style w:type="character" w:customStyle="1" w:styleId="CitaviBibliographyHeadingChar">
    <w:name w:val="Citavi Bibliography Heading Char"/>
    <w:basedOn w:val="ParagraphChar"/>
    <w:link w:val="CitaviBibliographyHeading"/>
    <w:rsid w:val="007750DB"/>
    <w:rPr>
      <w:rFonts w:asciiTheme="minorHAnsi" w:hAnsiTheme="minorHAnsi" w:cs="Arial"/>
      <w:b/>
      <w:bCs/>
      <w:kern w:val="32"/>
      <w:sz w:val="26"/>
      <w:szCs w:val="32"/>
    </w:rPr>
  </w:style>
  <w:style w:type="paragraph" w:customStyle="1" w:styleId="CitaviBibliographySubheading1">
    <w:name w:val="Citavi Bibliography Subheading 1"/>
    <w:basedOn w:val="Heading2"/>
    <w:link w:val="CitaviBibliographySubheading1Char"/>
    <w:rsid w:val="007750DB"/>
    <w:pPr>
      <w:outlineLvl w:val="9"/>
    </w:pPr>
  </w:style>
  <w:style w:type="character" w:customStyle="1" w:styleId="CitaviBibliographySubheading1Char">
    <w:name w:val="Citavi Bibliography Subheading 1 Char"/>
    <w:basedOn w:val="ParagraphChar"/>
    <w:link w:val="CitaviBibliographySubheading1"/>
    <w:rsid w:val="007750DB"/>
    <w:rPr>
      <w:rFonts w:ascii="Calibri" w:hAnsi="Calibri" w:cs="Arial"/>
      <w:b/>
      <w:bCs/>
      <w:iCs/>
      <w:sz w:val="24"/>
      <w:szCs w:val="28"/>
    </w:rPr>
  </w:style>
  <w:style w:type="paragraph" w:customStyle="1" w:styleId="CitaviBibliographySubheading2">
    <w:name w:val="Citavi Bibliography Subheading 2"/>
    <w:basedOn w:val="Heading3"/>
    <w:link w:val="CitaviBibliographySubheading2Char"/>
    <w:rsid w:val="007750DB"/>
    <w:pPr>
      <w:outlineLvl w:val="9"/>
    </w:pPr>
  </w:style>
  <w:style w:type="character" w:customStyle="1" w:styleId="CitaviBibliographySubheading2Char">
    <w:name w:val="Citavi Bibliography Subheading 2 Char"/>
    <w:basedOn w:val="ParagraphChar"/>
    <w:link w:val="CitaviBibliographySubheading2"/>
    <w:rsid w:val="007750DB"/>
    <w:rPr>
      <w:rFonts w:cs="Arial"/>
      <w:bCs/>
      <w:i/>
      <w:sz w:val="24"/>
      <w:szCs w:val="26"/>
    </w:rPr>
  </w:style>
  <w:style w:type="paragraph" w:customStyle="1" w:styleId="CitaviBibliographySubheading3">
    <w:name w:val="Citavi Bibliography Subheading 3"/>
    <w:basedOn w:val="Heading4"/>
    <w:link w:val="CitaviBibliographySubheading3Char"/>
    <w:rsid w:val="007750DB"/>
    <w:pPr>
      <w:jc w:val="left"/>
      <w:outlineLvl w:val="9"/>
    </w:pPr>
  </w:style>
  <w:style w:type="character" w:customStyle="1" w:styleId="CitaviBibliographySubheading3Char">
    <w:name w:val="Citavi Bibliography Subheading 3 Char"/>
    <w:basedOn w:val="ParagraphChar"/>
    <w:link w:val="CitaviBibliographySubheading3"/>
    <w:rsid w:val="007750DB"/>
    <w:rPr>
      <w:bCs/>
      <w:sz w:val="24"/>
      <w:szCs w:val="28"/>
    </w:rPr>
  </w:style>
  <w:style w:type="paragraph" w:customStyle="1" w:styleId="CitaviBibliographySubheading4">
    <w:name w:val="Citavi Bibliography Subheading 4"/>
    <w:basedOn w:val="Heading5"/>
    <w:link w:val="CitaviBibliographySubheading4Char"/>
    <w:rsid w:val="007750DB"/>
    <w:pPr>
      <w:outlineLvl w:val="9"/>
    </w:pPr>
  </w:style>
  <w:style w:type="character" w:customStyle="1" w:styleId="CitaviBibliographySubheading4Char">
    <w:name w:val="Citavi Bibliography Subheading 4 Char"/>
    <w:basedOn w:val="ParagraphChar"/>
    <w:link w:val="CitaviBibliographySubheading4"/>
    <w:rsid w:val="007750DB"/>
    <w:rPr>
      <w:rFonts w:asciiTheme="majorHAnsi" w:eastAsiaTheme="majorEastAsia" w:hAnsiTheme="majorHAnsi" w:cstheme="majorBidi"/>
      <w:color w:val="365F91" w:themeColor="accent1" w:themeShade="BF"/>
      <w:sz w:val="24"/>
      <w:szCs w:val="24"/>
    </w:rPr>
  </w:style>
  <w:style w:type="character" w:customStyle="1" w:styleId="Heading5Char">
    <w:name w:val="Heading 5 Char"/>
    <w:basedOn w:val="DefaultParagraphFont"/>
    <w:link w:val="Heading5"/>
    <w:rsid w:val="007750DB"/>
    <w:rPr>
      <w:rFonts w:asciiTheme="majorHAnsi" w:eastAsiaTheme="majorEastAsia" w:hAnsiTheme="majorHAnsi" w:cstheme="majorBidi"/>
      <w:color w:val="365F91" w:themeColor="accent1" w:themeShade="BF"/>
      <w:sz w:val="24"/>
      <w:szCs w:val="24"/>
    </w:rPr>
  </w:style>
  <w:style w:type="paragraph" w:customStyle="1" w:styleId="CitaviBibliographySubheading5">
    <w:name w:val="Citavi Bibliography Subheading 5"/>
    <w:basedOn w:val="Heading6"/>
    <w:link w:val="CitaviBibliographySubheading5Char"/>
    <w:rsid w:val="007750DB"/>
    <w:pPr>
      <w:outlineLvl w:val="9"/>
    </w:pPr>
  </w:style>
  <w:style w:type="character" w:customStyle="1" w:styleId="CitaviBibliographySubheading5Char">
    <w:name w:val="Citavi Bibliography Subheading 5 Char"/>
    <w:basedOn w:val="ParagraphChar"/>
    <w:link w:val="CitaviBibliographySubheading5"/>
    <w:rsid w:val="007750DB"/>
    <w:rPr>
      <w:rFonts w:asciiTheme="majorHAnsi" w:eastAsiaTheme="majorEastAsia" w:hAnsiTheme="majorHAnsi" w:cstheme="majorBidi"/>
      <w:color w:val="243F60" w:themeColor="accent1" w:themeShade="7F"/>
      <w:sz w:val="24"/>
      <w:szCs w:val="24"/>
    </w:rPr>
  </w:style>
  <w:style w:type="character" w:customStyle="1" w:styleId="Heading6Char">
    <w:name w:val="Heading 6 Char"/>
    <w:basedOn w:val="DefaultParagraphFont"/>
    <w:link w:val="Heading6"/>
    <w:rsid w:val="007750DB"/>
    <w:rPr>
      <w:rFonts w:asciiTheme="majorHAnsi" w:eastAsiaTheme="majorEastAsia" w:hAnsiTheme="majorHAnsi" w:cstheme="majorBidi"/>
      <w:color w:val="243F60" w:themeColor="accent1" w:themeShade="7F"/>
      <w:sz w:val="24"/>
      <w:szCs w:val="24"/>
    </w:rPr>
  </w:style>
  <w:style w:type="paragraph" w:customStyle="1" w:styleId="CitaviBibliographySubheading6">
    <w:name w:val="Citavi Bibliography Subheading 6"/>
    <w:basedOn w:val="Heading7"/>
    <w:link w:val="CitaviBibliographySubheading6Char"/>
    <w:rsid w:val="007750DB"/>
    <w:pPr>
      <w:outlineLvl w:val="9"/>
    </w:pPr>
  </w:style>
  <w:style w:type="character" w:customStyle="1" w:styleId="CitaviBibliographySubheading6Char">
    <w:name w:val="Citavi Bibliography Subheading 6 Char"/>
    <w:basedOn w:val="ParagraphChar"/>
    <w:link w:val="CitaviBibliographySubheading6"/>
    <w:rsid w:val="007750DB"/>
    <w:rPr>
      <w:rFonts w:asciiTheme="majorHAnsi" w:eastAsiaTheme="majorEastAsia" w:hAnsiTheme="majorHAnsi" w:cstheme="majorBidi"/>
      <w:i/>
      <w:iCs/>
      <w:color w:val="243F60" w:themeColor="accent1" w:themeShade="7F"/>
      <w:sz w:val="24"/>
      <w:szCs w:val="24"/>
    </w:rPr>
  </w:style>
  <w:style w:type="character" w:customStyle="1" w:styleId="Heading7Char">
    <w:name w:val="Heading 7 Char"/>
    <w:basedOn w:val="DefaultParagraphFont"/>
    <w:link w:val="Heading7"/>
    <w:semiHidden/>
    <w:rsid w:val="007750DB"/>
    <w:rPr>
      <w:rFonts w:asciiTheme="majorHAnsi" w:eastAsiaTheme="majorEastAsia" w:hAnsiTheme="majorHAnsi" w:cstheme="majorBidi"/>
      <w:i/>
      <w:iCs/>
      <w:color w:val="243F60" w:themeColor="accent1" w:themeShade="7F"/>
      <w:sz w:val="24"/>
      <w:szCs w:val="24"/>
    </w:rPr>
  </w:style>
  <w:style w:type="paragraph" w:customStyle="1" w:styleId="CitaviBibliographySubheading7">
    <w:name w:val="Citavi Bibliography Subheading 7"/>
    <w:basedOn w:val="Heading8"/>
    <w:link w:val="CitaviBibliographySubheading7Char"/>
    <w:rsid w:val="007750DB"/>
    <w:pPr>
      <w:outlineLvl w:val="9"/>
    </w:pPr>
  </w:style>
  <w:style w:type="character" w:customStyle="1" w:styleId="CitaviBibliographySubheading7Char">
    <w:name w:val="Citavi Bibliography Subheading 7 Char"/>
    <w:basedOn w:val="ParagraphChar"/>
    <w:link w:val="CitaviBibliographySubheading7"/>
    <w:rsid w:val="007750DB"/>
    <w:rPr>
      <w:rFonts w:asciiTheme="majorHAnsi" w:eastAsiaTheme="majorEastAsia" w:hAnsiTheme="majorHAnsi" w:cstheme="majorBidi"/>
      <w:color w:val="272727" w:themeColor="text1" w:themeTint="D8"/>
      <w:sz w:val="21"/>
      <w:szCs w:val="21"/>
    </w:rPr>
  </w:style>
  <w:style w:type="character" w:customStyle="1" w:styleId="Heading8Char">
    <w:name w:val="Heading 8 Char"/>
    <w:basedOn w:val="DefaultParagraphFont"/>
    <w:link w:val="Heading8"/>
    <w:semiHidden/>
    <w:rsid w:val="007750DB"/>
    <w:rPr>
      <w:rFonts w:asciiTheme="majorHAnsi" w:eastAsiaTheme="majorEastAsia" w:hAnsiTheme="majorHAnsi" w:cstheme="majorBidi"/>
      <w:color w:val="272727" w:themeColor="text1" w:themeTint="D8"/>
      <w:sz w:val="21"/>
      <w:szCs w:val="21"/>
    </w:rPr>
  </w:style>
  <w:style w:type="paragraph" w:customStyle="1" w:styleId="CitaviBibliographySubheading8">
    <w:name w:val="Citavi Bibliography Subheading 8"/>
    <w:basedOn w:val="Heading9"/>
    <w:link w:val="CitaviBibliographySubheading8Char"/>
    <w:rsid w:val="007750DB"/>
    <w:pPr>
      <w:outlineLvl w:val="9"/>
    </w:pPr>
  </w:style>
  <w:style w:type="character" w:customStyle="1" w:styleId="CitaviBibliographySubheading8Char">
    <w:name w:val="Citavi Bibliography Subheading 8 Char"/>
    <w:basedOn w:val="ParagraphChar"/>
    <w:link w:val="CitaviBibliographySubheading8"/>
    <w:rsid w:val="007750DB"/>
    <w:rPr>
      <w:rFonts w:asciiTheme="majorHAnsi" w:eastAsiaTheme="majorEastAsia" w:hAnsiTheme="majorHAnsi" w:cstheme="majorBidi"/>
      <w:i/>
      <w:iCs/>
      <w:color w:val="272727" w:themeColor="text1" w:themeTint="D8"/>
      <w:sz w:val="21"/>
      <w:szCs w:val="21"/>
    </w:rPr>
  </w:style>
  <w:style w:type="character" w:customStyle="1" w:styleId="Heading9Char">
    <w:name w:val="Heading 9 Char"/>
    <w:basedOn w:val="DefaultParagraphFont"/>
    <w:link w:val="Heading9"/>
    <w:semiHidden/>
    <w:rsid w:val="007750DB"/>
    <w:rPr>
      <w:rFonts w:asciiTheme="majorHAnsi" w:eastAsiaTheme="majorEastAsia" w:hAnsiTheme="majorHAnsi" w:cstheme="majorBidi"/>
      <w:i/>
      <w:iCs/>
      <w:color w:val="272727" w:themeColor="text1" w:themeTint="D8"/>
      <w:sz w:val="21"/>
      <w:szCs w:val="21"/>
    </w:rPr>
  </w:style>
  <w:style w:type="character" w:customStyle="1" w:styleId="UnresolvedMention1">
    <w:name w:val="Unresolved Mention1"/>
    <w:basedOn w:val="DefaultParagraphFont"/>
    <w:uiPriority w:val="99"/>
    <w:semiHidden/>
    <w:unhideWhenUsed/>
    <w:rsid w:val="00E63EAE"/>
    <w:rPr>
      <w:color w:val="605E5C"/>
      <w:shd w:val="clear" w:color="auto" w:fill="E1DFDD"/>
    </w:rPr>
  </w:style>
  <w:style w:type="character" w:customStyle="1" w:styleId="CitaviBibliographyEntryZchn">
    <w:name w:val="Citavi Bibliography Entry Zchn"/>
    <w:rsid w:val="00902678"/>
    <w:rPr>
      <w:rFonts w:ascii="Times New Roman" w:eastAsia="Times New Roman" w:hAnsi="Times New Roman" w:cs="Arial"/>
      <w:color w:val="000000"/>
      <w:szCs w:val="15"/>
      <w:lang w:val="en-GB"/>
    </w:rPr>
  </w:style>
  <w:style w:type="paragraph" w:styleId="Revision">
    <w:name w:val="Revision"/>
    <w:hidden/>
    <w:semiHidden/>
    <w:rsid w:val="00A51B01"/>
    <w:rPr>
      <w:sz w:val="24"/>
      <w:szCs w:val="24"/>
    </w:rPr>
  </w:style>
  <w:style w:type="character" w:styleId="FollowedHyperlink">
    <w:name w:val="FollowedHyperlink"/>
    <w:basedOn w:val="DefaultParagraphFont"/>
    <w:semiHidden/>
    <w:unhideWhenUsed/>
    <w:rsid w:val="000C1D58"/>
    <w:rPr>
      <w:color w:val="800080" w:themeColor="followedHyperlink"/>
      <w:u w:val="single"/>
    </w:rPr>
  </w:style>
  <w:style w:type="character" w:customStyle="1" w:styleId="UnresolvedMention2">
    <w:name w:val="Unresolved Mention2"/>
    <w:basedOn w:val="DefaultParagraphFont"/>
    <w:uiPriority w:val="99"/>
    <w:semiHidden/>
    <w:unhideWhenUsed/>
    <w:rsid w:val="005835FB"/>
    <w:rPr>
      <w:color w:val="605E5C"/>
      <w:shd w:val="clear" w:color="auto" w:fill="E1DFDD"/>
    </w:rPr>
  </w:style>
  <w:style w:type="character" w:customStyle="1" w:styleId="normaltextrun">
    <w:name w:val="normaltextrun"/>
    <w:basedOn w:val="DefaultParagraphFont"/>
    <w:rsid w:val="00C5726A"/>
  </w:style>
  <w:style w:type="character" w:customStyle="1" w:styleId="spellingerror">
    <w:name w:val="spellingerror"/>
    <w:basedOn w:val="DefaultParagraphFont"/>
    <w:rsid w:val="00C5726A"/>
  </w:style>
  <w:style w:type="character" w:customStyle="1" w:styleId="UnresolvedMention3">
    <w:name w:val="Unresolved Mention3"/>
    <w:basedOn w:val="DefaultParagraphFont"/>
    <w:uiPriority w:val="99"/>
    <w:semiHidden/>
    <w:unhideWhenUsed/>
    <w:rsid w:val="006507A0"/>
    <w:rPr>
      <w:color w:val="605E5C"/>
      <w:shd w:val="clear" w:color="auto" w:fill="E1DFDD"/>
    </w:rPr>
  </w:style>
  <w:style w:type="paragraph" w:customStyle="1" w:styleId="CitaviChapterBibliographyHeading">
    <w:name w:val="Citavi Chapter Bibliography Heading"/>
    <w:basedOn w:val="Heading2"/>
    <w:link w:val="CitaviChapterBibliographyHeadingZchn"/>
    <w:uiPriority w:val="99"/>
    <w:rsid w:val="005A2CF7"/>
  </w:style>
  <w:style w:type="character" w:customStyle="1" w:styleId="CitaviChapterBibliographyHeadingZchn">
    <w:name w:val="Citavi Chapter Bibliography Heading Zchn"/>
    <w:basedOn w:val="ParagraphChar"/>
    <w:link w:val="CitaviChapterBibliographyHeading"/>
    <w:uiPriority w:val="99"/>
    <w:rsid w:val="005A2CF7"/>
    <w:rPr>
      <w:rFonts w:cs="Arial"/>
      <w:b/>
      <w:bCs/>
      <w:iCs/>
      <w:sz w:val="24"/>
      <w:szCs w:val="28"/>
    </w:rPr>
  </w:style>
  <w:style w:type="paragraph" w:styleId="Caption">
    <w:name w:val="caption"/>
    <w:basedOn w:val="Normal"/>
    <w:next w:val="Normal"/>
    <w:unhideWhenUsed/>
    <w:rsid w:val="004058F9"/>
    <w:pPr>
      <w:spacing w:after="200" w:line="240" w:lineRule="auto"/>
    </w:pPr>
    <w:rPr>
      <w:i/>
      <w:iCs/>
      <w:color w:val="1F497D" w:themeColor="text2"/>
      <w:sz w:val="18"/>
      <w:szCs w:val="18"/>
    </w:rPr>
  </w:style>
  <w:style w:type="paragraph" w:styleId="TOCHeading">
    <w:name w:val="TOC Heading"/>
    <w:basedOn w:val="Heading1"/>
    <w:next w:val="Normal"/>
    <w:semiHidden/>
    <w:unhideWhenUsed/>
    <w:rsid w:val="00870CDF"/>
    <w:pPr>
      <w:keepLines/>
      <w:spacing w:before="240" w:after="0" w:line="480" w:lineRule="auto"/>
      <w:ind w:right="0"/>
      <w:contextualSpacing w:val="0"/>
      <w:outlineLvl w:val="9"/>
    </w:pPr>
    <w:rPr>
      <w:rFonts w:asciiTheme="majorHAnsi" w:eastAsiaTheme="majorEastAsia" w:hAnsiTheme="majorHAnsi" w:cstheme="majorBidi"/>
      <w:b w:val="0"/>
      <w:bCs w:val="0"/>
      <w:color w:val="365F91" w:themeColor="accent1" w:themeShade="BF"/>
      <w:kern w:val="0"/>
      <w:sz w:val="32"/>
    </w:rPr>
  </w:style>
  <w:style w:type="paragraph" w:styleId="Bibliography">
    <w:name w:val="Bibliography"/>
    <w:basedOn w:val="Normal"/>
    <w:next w:val="Normal"/>
    <w:semiHidden/>
    <w:unhideWhenUsed/>
    <w:rsid w:val="00870CDF"/>
  </w:style>
  <w:style w:type="character" w:styleId="BookTitle">
    <w:name w:val="Book Title"/>
    <w:basedOn w:val="DefaultParagraphFont"/>
    <w:rsid w:val="00870CDF"/>
    <w:rPr>
      <w:b/>
      <w:bCs/>
      <w:i/>
      <w:iCs/>
      <w:spacing w:val="5"/>
    </w:rPr>
  </w:style>
  <w:style w:type="character" w:styleId="IntenseReference">
    <w:name w:val="Intense Reference"/>
    <w:basedOn w:val="DefaultParagraphFont"/>
    <w:rsid w:val="00870CDF"/>
    <w:rPr>
      <w:b/>
      <w:bCs/>
      <w:smallCaps/>
      <w:color w:val="4F81BD" w:themeColor="accent1"/>
      <w:spacing w:val="5"/>
    </w:rPr>
  </w:style>
  <w:style w:type="character" w:styleId="SubtleReference">
    <w:name w:val="Subtle Reference"/>
    <w:basedOn w:val="DefaultParagraphFont"/>
    <w:rsid w:val="00870CDF"/>
    <w:rPr>
      <w:smallCaps/>
      <w:color w:val="5A5A5A" w:themeColor="text1" w:themeTint="A5"/>
    </w:rPr>
  </w:style>
  <w:style w:type="character" w:styleId="IntenseEmphasis">
    <w:name w:val="Intense Emphasis"/>
    <w:basedOn w:val="DefaultParagraphFont"/>
    <w:rsid w:val="00870CDF"/>
    <w:rPr>
      <w:i/>
      <w:iCs/>
      <w:color w:val="4F81BD" w:themeColor="accent1"/>
    </w:rPr>
  </w:style>
  <w:style w:type="character" w:styleId="SubtleEmphasis">
    <w:name w:val="Subtle Emphasis"/>
    <w:basedOn w:val="DefaultParagraphFont"/>
    <w:rsid w:val="00870CDF"/>
    <w:rPr>
      <w:i/>
      <w:iCs/>
      <w:color w:val="404040" w:themeColor="text1" w:themeTint="BF"/>
    </w:rPr>
  </w:style>
  <w:style w:type="paragraph" w:styleId="IntenseQuote">
    <w:name w:val="Intense Quote"/>
    <w:basedOn w:val="Normal"/>
    <w:next w:val="Normal"/>
    <w:link w:val="IntenseQuoteChar"/>
    <w:rsid w:val="00870CDF"/>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rsid w:val="00870CDF"/>
    <w:rPr>
      <w:i/>
      <w:iCs/>
      <w:color w:val="4F81BD" w:themeColor="accent1"/>
      <w:sz w:val="24"/>
      <w:szCs w:val="24"/>
    </w:rPr>
  </w:style>
  <w:style w:type="paragraph" w:styleId="Quote">
    <w:name w:val="Quote"/>
    <w:basedOn w:val="Normal"/>
    <w:next w:val="Normal"/>
    <w:link w:val="QuoteChar"/>
    <w:rsid w:val="00870CDF"/>
    <w:pPr>
      <w:spacing w:before="200" w:after="160"/>
      <w:ind w:left="864" w:right="864"/>
      <w:jc w:val="center"/>
    </w:pPr>
    <w:rPr>
      <w:i/>
      <w:iCs/>
      <w:color w:val="404040" w:themeColor="text1" w:themeTint="BF"/>
    </w:rPr>
  </w:style>
  <w:style w:type="character" w:customStyle="1" w:styleId="QuoteChar">
    <w:name w:val="Quote Char"/>
    <w:basedOn w:val="DefaultParagraphFont"/>
    <w:link w:val="Quote"/>
    <w:rsid w:val="00870CDF"/>
    <w:rPr>
      <w:i/>
      <w:iCs/>
      <w:color w:val="404040" w:themeColor="text1" w:themeTint="BF"/>
      <w:sz w:val="24"/>
      <w:szCs w:val="24"/>
    </w:rPr>
  </w:style>
  <w:style w:type="table" w:styleId="MediumList1-Accent1">
    <w:name w:val="Medium List 1 Accent 1"/>
    <w:basedOn w:val="TableNormal"/>
    <w:semiHidden/>
    <w:unhideWhenUsed/>
    <w:rsid w:val="00870CDF"/>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Shading2-Accent1">
    <w:name w:val="Medium Shading 2 Accent 1"/>
    <w:basedOn w:val="TableNormal"/>
    <w:semiHidden/>
    <w:unhideWhenUsed/>
    <w:rsid w:val="00870CDF"/>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Accent1">
    <w:name w:val="Medium Shading 1 Accent 1"/>
    <w:basedOn w:val="TableNormal"/>
    <w:semiHidden/>
    <w:unhideWhenUsed/>
    <w:rsid w:val="00870CDF"/>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LightGrid-Accent1">
    <w:name w:val="Light Grid Accent 1"/>
    <w:basedOn w:val="TableNormal"/>
    <w:semiHidden/>
    <w:unhideWhenUsed/>
    <w:rsid w:val="00870CDF"/>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List-Accent1">
    <w:name w:val="Light List Accent 1"/>
    <w:basedOn w:val="TableNormal"/>
    <w:semiHidden/>
    <w:unhideWhenUsed/>
    <w:rsid w:val="00870CDF"/>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Shading-Accent1">
    <w:name w:val="Light Shading Accent 1"/>
    <w:basedOn w:val="TableNormal"/>
    <w:semiHidden/>
    <w:unhideWhenUsed/>
    <w:rsid w:val="00870CDF"/>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ColorfulGrid">
    <w:name w:val="Colorful Grid"/>
    <w:basedOn w:val="TableNormal"/>
    <w:semiHidden/>
    <w:unhideWhenUsed/>
    <w:rsid w:val="00870CDF"/>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List">
    <w:name w:val="Colorful List"/>
    <w:basedOn w:val="TableNormal"/>
    <w:semiHidden/>
    <w:unhideWhenUsed/>
    <w:rsid w:val="00870CDF"/>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Shading">
    <w:name w:val="Colorful Shading"/>
    <w:basedOn w:val="TableNormal"/>
    <w:semiHidden/>
    <w:unhideWhenUsed/>
    <w:rsid w:val="00870CDF"/>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DarkList">
    <w:name w:val="Dark List"/>
    <w:basedOn w:val="TableNormal"/>
    <w:semiHidden/>
    <w:unhideWhenUsed/>
    <w:rsid w:val="00870CDF"/>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MediumGrid3">
    <w:name w:val="Medium Grid 3"/>
    <w:basedOn w:val="TableNormal"/>
    <w:semiHidden/>
    <w:unhideWhenUsed/>
    <w:rsid w:val="00870CDF"/>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2">
    <w:name w:val="Medium Grid 2"/>
    <w:basedOn w:val="TableNormal"/>
    <w:semiHidden/>
    <w:unhideWhenUsed/>
    <w:rsid w:val="00870CDF"/>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1">
    <w:name w:val="Medium Grid 1"/>
    <w:basedOn w:val="TableNormal"/>
    <w:semiHidden/>
    <w:unhideWhenUsed/>
    <w:rsid w:val="00870CDF"/>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List2">
    <w:name w:val="Medium List 2"/>
    <w:basedOn w:val="TableNormal"/>
    <w:semiHidden/>
    <w:unhideWhenUsed/>
    <w:rsid w:val="00870CDF"/>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1">
    <w:name w:val="Medium List 1"/>
    <w:basedOn w:val="TableNormal"/>
    <w:semiHidden/>
    <w:unhideWhenUsed/>
    <w:rsid w:val="00870CDF"/>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Shading2">
    <w:name w:val="Medium Shading 2"/>
    <w:basedOn w:val="TableNormal"/>
    <w:semiHidden/>
    <w:unhideWhenUsed/>
    <w:rsid w:val="00870CDF"/>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
    <w:name w:val="Medium Shading 1"/>
    <w:basedOn w:val="TableNormal"/>
    <w:semiHidden/>
    <w:unhideWhenUsed/>
    <w:rsid w:val="00870CDF"/>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LightGrid">
    <w:name w:val="Light Grid"/>
    <w:basedOn w:val="TableNormal"/>
    <w:semiHidden/>
    <w:unhideWhenUsed/>
    <w:rsid w:val="00870CDF"/>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List">
    <w:name w:val="Light List"/>
    <w:basedOn w:val="TableNormal"/>
    <w:semiHidden/>
    <w:unhideWhenUsed/>
    <w:rsid w:val="00870CDF"/>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Shading">
    <w:name w:val="Light Shading"/>
    <w:basedOn w:val="TableNormal"/>
    <w:semiHidden/>
    <w:unhideWhenUsed/>
    <w:rsid w:val="00870CDF"/>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Spacing">
    <w:name w:val="No Spacing"/>
    <w:rsid w:val="00870CDF"/>
    <w:rPr>
      <w:sz w:val="24"/>
      <w:szCs w:val="24"/>
    </w:rPr>
  </w:style>
  <w:style w:type="character" w:styleId="HTMLVariable">
    <w:name w:val="HTML Variable"/>
    <w:basedOn w:val="DefaultParagraphFont"/>
    <w:semiHidden/>
    <w:unhideWhenUsed/>
    <w:rsid w:val="00870CDF"/>
    <w:rPr>
      <w:i/>
      <w:iCs/>
    </w:rPr>
  </w:style>
  <w:style w:type="character" w:styleId="HTMLTypewriter">
    <w:name w:val="HTML Typewriter"/>
    <w:basedOn w:val="DefaultParagraphFont"/>
    <w:semiHidden/>
    <w:unhideWhenUsed/>
    <w:rsid w:val="00870CDF"/>
    <w:rPr>
      <w:rFonts w:ascii="Consolas" w:hAnsi="Consolas"/>
      <w:sz w:val="20"/>
      <w:szCs w:val="20"/>
    </w:rPr>
  </w:style>
  <w:style w:type="character" w:styleId="HTMLSample">
    <w:name w:val="HTML Sample"/>
    <w:basedOn w:val="DefaultParagraphFont"/>
    <w:semiHidden/>
    <w:unhideWhenUsed/>
    <w:rsid w:val="00870CDF"/>
    <w:rPr>
      <w:rFonts w:ascii="Consolas" w:hAnsi="Consolas"/>
      <w:sz w:val="24"/>
      <w:szCs w:val="24"/>
    </w:rPr>
  </w:style>
  <w:style w:type="paragraph" w:styleId="HTMLPreformatted">
    <w:name w:val="HTML Preformatted"/>
    <w:basedOn w:val="Normal"/>
    <w:link w:val="HTMLPreformattedChar"/>
    <w:semiHidden/>
    <w:unhideWhenUsed/>
    <w:rsid w:val="00870CDF"/>
    <w:pPr>
      <w:spacing w:line="240" w:lineRule="auto"/>
    </w:pPr>
    <w:rPr>
      <w:rFonts w:ascii="Consolas" w:hAnsi="Consolas"/>
      <w:sz w:val="20"/>
      <w:szCs w:val="20"/>
    </w:rPr>
  </w:style>
  <w:style w:type="character" w:customStyle="1" w:styleId="HTMLPreformattedChar">
    <w:name w:val="HTML Preformatted Char"/>
    <w:basedOn w:val="DefaultParagraphFont"/>
    <w:link w:val="HTMLPreformatted"/>
    <w:semiHidden/>
    <w:rsid w:val="00870CDF"/>
    <w:rPr>
      <w:rFonts w:ascii="Consolas" w:hAnsi="Consolas"/>
    </w:rPr>
  </w:style>
  <w:style w:type="character" w:styleId="HTMLKeyboard">
    <w:name w:val="HTML Keyboard"/>
    <w:basedOn w:val="DefaultParagraphFont"/>
    <w:semiHidden/>
    <w:unhideWhenUsed/>
    <w:rsid w:val="00870CDF"/>
    <w:rPr>
      <w:rFonts w:ascii="Consolas" w:hAnsi="Consolas"/>
      <w:sz w:val="20"/>
      <w:szCs w:val="20"/>
    </w:rPr>
  </w:style>
  <w:style w:type="character" w:styleId="HTMLDefinition">
    <w:name w:val="HTML Definition"/>
    <w:basedOn w:val="DefaultParagraphFont"/>
    <w:semiHidden/>
    <w:unhideWhenUsed/>
    <w:rsid w:val="00870CDF"/>
    <w:rPr>
      <w:i/>
      <w:iCs/>
    </w:rPr>
  </w:style>
  <w:style w:type="character" w:styleId="HTMLCode">
    <w:name w:val="HTML Code"/>
    <w:basedOn w:val="DefaultParagraphFont"/>
    <w:semiHidden/>
    <w:unhideWhenUsed/>
    <w:rsid w:val="00870CDF"/>
    <w:rPr>
      <w:rFonts w:ascii="Consolas" w:hAnsi="Consolas"/>
      <w:sz w:val="20"/>
      <w:szCs w:val="20"/>
    </w:rPr>
  </w:style>
  <w:style w:type="character" w:styleId="HTMLCite">
    <w:name w:val="HTML Cite"/>
    <w:basedOn w:val="DefaultParagraphFont"/>
    <w:semiHidden/>
    <w:unhideWhenUsed/>
    <w:rsid w:val="00870CDF"/>
    <w:rPr>
      <w:i/>
      <w:iCs/>
    </w:rPr>
  </w:style>
  <w:style w:type="paragraph" w:styleId="HTMLAddress">
    <w:name w:val="HTML Address"/>
    <w:basedOn w:val="Normal"/>
    <w:link w:val="HTMLAddressChar"/>
    <w:semiHidden/>
    <w:unhideWhenUsed/>
    <w:rsid w:val="00870CDF"/>
    <w:pPr>
      <w:spacing w:line="240" w:lineRule="auto"/>
    </w:pPr>
    <w:rPr>
      <w:i/>
      <w:iCs/>
    </w:rPr>
  </w:style>
  <w:style w:type="character" w:customStyle="1" w:styleId="HTMLAddressChar">
    <w:name w:val="HTML Address Char"/>
    <w:basedOn w:val="DefaultParagraphFont"/>
    <w:link w:val="HTMLAddress"/>
    <w:semiHidden/>
    <w:rsid w:val="00870CDF"/>
    <w:rPr>
      <w:i/>
      <w:iCs/>
      <w:sz w:val="24"/>
      <w:szCs w:val="24"/>
    </w:rPr>
  </w:style>
  <w:style w:type="character" w:styleId="HTMLAcronym">
    <w:name w:val="HTML Acronym"/>
    <w:basedOn w:val="DefaultParagraphFont"/>
    <w:semiHidden/>
    <w:unhideWhenUsed/>
    <w:rsid w:val="00870CDF"/>
  </w:style>
  <w:style w:type="paragraph" w:styleId="PlainText">
    <w:name w:val="Plain Text"/>
    <w:basedOn w:val="Normal"/>
    <w:link w:val="PlainTextChar"/>
    <w:uiPriority w:val="99"/>
    <w:unhideWhenUsed/>
    <w:rsid w:val="00870CDF"/>
    <w:pPr>
      <w:spacing w:line="240" w:lineRule="auto"/>
    </w:pPr>
    <w:rPr>
      <w:rFonts w:ascii="Consolas" w:hAnsi="Consolas"/>
      <w:sz w:val="21"/>
      <w:szCs w:val="21"/>
    </w:rPr>
  </w:style>
  <w:style w:type="character" w:customStyle="1" w:styleId="PlainTextChar">
    <w:name w:val="Plain Text Char"/>
    <w:basedOn w:val="DefaultParagraphFont"/>
    <w:link w:val="PlainText"/>
    <w:uiPriority w:val="99"/>
    <w:rsid w:val="00870CDF"/>
    <w:rPr>
      <w:rFonts w:ascii="Consolas" w:hAnsi="Consolas"/>
      <w:sz w:val="21"/>
      <w:szCs w:val="21"/>
    </w:rPr>
  </w:style>
  <w:style w:type="paragraph" w:styleId="DocumentMap">
    <w:name w:val="Document Map"/>
    <w:basedOn w:val="Normal"/>
    <w:link w:val="DocumentMapChar"/>
    <w:semiHidden/>
    <w:unhideWhenUsed/>
    <w:rsid w:val="00870CDF"/>
    <w:pPr>
      <w:spacing w:line="240" w:lineRule="auto"/>
    </w:pPr>
    <w:rPr>
      <w:rFonts w:ascii="Segoe UI" w:hAnsi="Segoe UI" w:cs="Segoe UI"/>
      <w:sz w:val="16"/>
      <w:szCs w:val="16"/>
    </w:rPr>
  </w:style>
  <w:style w:type="character" w:customStyle="1" w:styleId="DocumentMapChar">
    <w:name w:val="Document Map Char"/>
    <w:basedOn w:val="DefaultParagraphFont"/>
    <w:link w:val="DocumentMap"/>
    <w:semiHidden/>
    <w:rsid w:val="00870CDF"/>
    <w:rPr>
      <w:rFonts w:ascii="Segoe UI" w:hAnsi="Segoe UI" w:cs="Segoe UI"/>
      <w:sz w:val="16"/>
      <w:szCs w:val="16"/>
    </w:rPr>
  </w:style>
  <w:style w:type="character" w:styleId="Emphasis">
    <w:name w:val="Emphasis"/>
    <w:basedOn w:val="DefaultParagraphFont"/>
    <w:rsid w:val="00870CDF"/>
    <w:rPr>
      <w:i/>
      <w:iCs/>
    </w:rPr>
  </w:style>
  <w:style w:type="character" w:styleId="Strong">
    <w:name w:val="Strong"/>
    <w:basedOn w:val="DefaultParagraphFont"/>
    <w:rsid w:val="00870CDF"/>
    <w:rPr>
      <w:b/>
      <w:bCs/>
    </w:rPr>
  </w:style>
  <w:style w:type="paragraph" w:styleId="BlockText">
    <w:name w:val="Block Text"/>
    <w:basedOn w:val="Normal"/>
    <w:semiHidden/>
    <w:unhideWhenUsed/>
    <w:rsid w:val="00870CDF"/>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Indent3">
    <w:name w:val="Body Text Indent 3"/>
    <w:basedOn w:val="Normal"/>
    <w:link w:val="BodyTextIndent3Char"/>
    <w:semiHidden/>
    <w:unhideWhenUsed/>
    <w:rsid w:val="00870CDF"/>
    <w:pPr>
      <w:spacing w:after="120"/>
      <w:ind w:left="283"/>
    </w:pPr>
    <w:rPr>
      <w:sz w:val="16"/>
      <w:szCs w:val="16"/>
    </w:rPr>
  </w:style>
  <w:style w:type="character" w:customStyle="1" w:styleId="BodyTextIndent3Char">
    <w:name w:val="Body Text Indent 3 Char"/>
    <w:basedOn w:val="DefaultParagraphFont"/>
    <w:link w:val="BodyTextIndent3"/>
    <w:semiHidden/>
    <w:rsid w:val="00870CDF"/>
    <w:rPr>
      <w:sz w:val="16"/>
      <w:szCs w:val="16"/>
    </w:rPr>
  </w:style>
  <w:style w:type="paragraph" w:styleId="BodyTextIndent2">
    <w:name w:val="Body Text Indent 2"/>
    <w:basedOn w:val="Normal"/>
    <w:link w:val="BodyTextIndent2Char"/>
    <w:semiHidden/>
    <w:unhideWhenUsed/>
    <w:rsid w:val="00870CDF"/>
    <w:pPr>
      <w:spacing w:after="120"/>
      <w:ind w:left="283"/>
    </w:pPr>
  </w:style>
  <w:style w:type="character" w:customStyle="1" w:styleId="BodyTextIndent2Char">
    <w:name w:val="Body Text Indent 2 Char"/>
    <w:basedOn w:val="DefaultParagraphFont"/>
    <w:link w:val="BodyTextIndent2"/>
    <w:semiHidden/>
    <w:rsid w:val="00870CDF"/>
    <w:rPr>
      <w:sz w:val="24"/>
      <w:szCs w:val="24"/>
    </w:rPr>
  </w:style>
  <w:style w:type="paragraph" w:styleId="BodyText3">
    <w:name w:val="Body Text 3"/>
    <w:basedOn w:val="Normal"/>
    <w:link w:val="BodyText3Char"/>
    <w:semiHidden/>
    <w:unhideWhenUsed/>
    <w:rsid w:val="00870CDF"/>
    <w:pPr>
      <w:spacing w:after="120"/>
    </w:pPr>
    <w:rPr>
      <w:sz w:val="16"/>
      <w:szCs w:val="16"/>
    </w:rPr>
  </w:style>
  <w:style w:type="character" w:customStyle="1" w:styleId="BodyText3Char">
    <w:name w:val="Body Text 3 Char"/>
    <w:basedOn w:val="DefaultParagraphFont"/>
    <w:link w:val="BodyText3"/>
    <w:semiHidden/>
    <w:rsid w:val="00870CDF"/>
    <w:rPr>
      <w:sz w:val="16"/>
      <w:szCs w:val="16"/>
    </w:rPr>
  </w:style>
  <w:style w:type="paragraph" w:styleId="BodyText2">
    <w:name w:val="Body Text 2"/>
    <w:basedOn w:val="Normal"/>
    <w:link w:val="BodyText2Char"/>
    <w:semiHidden/>
    <w:unhideWhenUsed/>
    <w:rsid w:val="00870CDF"/>
    <w:pPr>
      <w:spacing w:after="120"/>
    </w:pPr>
  </w:style>
  <w:style w:type="character" w:customStyle="1" w:styleId="BodyText2Char">
    <w:name w:val="Body Text 2 Char"/>
    <w:basedOn w:val="DefaultParagraphFont"/>
    <w:link w:val="BodyText2"/>
    <w:semiHidden/>
    <w:rsid w:val="00870CDF"/>
    <w:rPr>
      <w:sz w:val="24"/>
      <w:szCs w:val="24"/>
    </w:rPr>
  </w:style>
  <w:style w:type="paragraph" w:styleId="NoteHeading">
    <w:name w:val="Note Heading"/>
    <w:basedOn w:val="Normal"/>
    <w:next w:val="Normal"/>
    <w:link w:val="NoteHeadingChar"/>
    <w:semiHidden/>
    <w:unhideWhenUsed/>
    <w:rsid w:val="00870CDF"/>
    <w:pPr>
      <w:spacing w:line="240" w:lineRule="auto"/>
    </w:pPr>
  </w:style>
  <w:style w:type="character" w:customStyle="1" w:styleId="NoteHeadingChar">
    <w:name w:val="Note Heading Char"/>
    <w:basedOn w:val="DefaultParagraphFont"/>
    <w:link w:val="NoteHeading"/>
    <w:semiHidden/>
    <w:rsid w:val="00870CDF"/>
    <w:rPr>
      <w:sz w:val="24"/>
      <w:szCs w:val="24"/>
    </w:rPr>
  </w:style>
  <w:style w:type="paragraph" w:styleId="BodyTextIndent">
    <w:name w:val="Body Text Indent"/>
    <w:basedOn w:val="Normal"/>
    <w:link w:val="BodyTextIndentChar"/>
    <w:semiHidden/>
    <w:unhideWhenUsed/>
    <w:rsid w:val="00870CDF"/>
    <w:pPr>
      <w:spacing w:after="120"/>
      <w:ind w:left="283"/>
    </w:pPr>
  </w:style>
  <w:style w:type="character" w:customStyle="1" w:styleId="BodyTextIndentChar">
    <w:name w:val="Body Text Indent Char"/>
    <w:basedOn w:val="DefaultParagraphFont"/>
    <w:link w:val="BodyTextIndent"/>
    <w:semiHidden/>
    <w:rsid w:val="00870CDF"/>
    <w:rPr>
      <w:sz w:val="24"/>
      <w:szCs w:val="24"/>
    </w:rPr>
  </w:style>
  <w:style w:type="paragraph" w:styleId="BodyTextFirstIndent2">
    <w:name w:val="Body Text First Indent 2"/>
    <w:basedOn w:val="BodyTextIndent"/>
    <w:link w:val="BodyTextFirstIndent2Char"/>
    <w:semiHidden/>
    <w:unhideWhenUsed/>
    <w:rsid w:val="00870CDF"/>
    <w:pPr>
      <w:spacing w:after="0"/>
      <w:ind w:left="360" w:firstLine="360"/>
    </w:pPr>
  </w:style>
  <w:style w:type="character" w:customStyle="1" w:styleId="BodyTextFirstIndent2Char">
    <w:name w:val="Body Text First Indent 2 Char"/>
    <w:basedOn w:val="BodyTextIndentChar"/>
    <w:link w:val="BodyTextFirstIndent2"/>
    <w:semiHidden/>
    <w:rsid w:val="00870CDF"/>
    <w:rPr>
      <w:sz w:val="24"/>
      <w:szCs w:val="24"/>
    </w:rPr>
  </w:style>
  <w:style w:type="paragraph" w:styleId="BodyText">
    <w:name w:val="Body Text"/>
    <w:basedOn w:val="Normal"/>
    <w:link w:val="BodyTextChar"/>
    <w:semiHidden/>
    <w:unhideWhenUsed/>
    <w:rsid w:val="00870CDF"/>
    <w:pPr>
      <w:spacing w:after="120"/>
    </w:pPr>
  </w:style>
  <w:style w:type="character" w:customStyle="1" w:styleId="BodyTextChar">
    <w:name w:val="Body Text Char"/>
    <w:basedOn w:val="DefaultParagraphFont"/>
    <w:link w:val="BodyText"/>
    <w:semiHidden/>
    <w:rsid w:val="00870CDF"/>
    <w:rPr>
      <w:sz w:val="24"/>
      <w:szCs w:val="24"/>
    </w:rPr>
  </w:style>
  <w:style w:type="paragraph" w:styleId="BodyTextFirstIndent">
    <w:name w:val="Body Text First Indent"/>
    <w:basedOn w:val="BodyText"/>
    <w:link w:val="BodyTextFirstIndentChar"/>
    <w:rsid w:val="00870CDF"/>
    <w:pPr>
      <w:spacing w:after="0"/>
      <w:ind w:firstLine="360"/>
    </w:pPr>
  </w:style>
  <w:style w:type="character" w:customStyle="1" w:styleId="BodyTextFirstIndentChar">
    <w:name w:val="Body Text First Indent Char"/>
    <w:basedOn w:val="BodyTextChar"/>
    <w:link w:val="BodyTextFirstIndent"/>
    <w:rsid w:val="00870CDF"/>
    <w:rPr>
      <w:sz w:val="24"/>
      <w:szCs w:val="24"/>
    </w:rPr>
  </w:style>
  <w:style w:type="paragraph" w:styleId="Date">
    <w:name w:val="Date"/>
    <w:basedOn w:val="Normal"/>
    <w:next w:val="Normal"/>
    <w:link w:val="DateChar"/>
    <w:rsid w:val="00870CDF"/>
  </w:style>
  <w:style w:type="character" w:customStyle="1" w:styleId="DateChar">
    <w:name w:val="Date Char"/>
    <w:basedOn w:val="DefaultParagraphFont"/>
    <w:link w:val="Date"/>
    <w:rsid w:val="00870CDF"/>
    <w:rPr>
      <w:sz w:val="24"/>
      <w:szCs w:val="24"/>
    </w:rPr>
  </w:style>
  <w:style w:type="paragraph" w:styleId="Salutation">
    <w:name w:val="Salutation"/>
    <w:basedOn w:val="Normal"/>
    <w:next w:val="Normal"/>
    <w:link w:val="SalutationChar"/>
    <w:rsid w:val="00870CDF"/>
  </w:style>
  <w:style w:type="character" w:customStyle="1" w:styleId="SalutationChar">
    <w:name w:val="Salutation Char"/>
    <w:basedOn w:val="DefaultParagraphFont"/>
    <w:link w:val="Salutation"/>
    <w:rsid w:val="00870CDF"/>
    <w:rPr>
      <w:sz w:val="24"/>
      <w:szCs w:val="24"/>
    </w:rPr>
  </w:style>
  <w:style w:type="paragraph" w:styleId="Subtitle">
    <w:name w:val="Subtitle"/>
    <w:basedOn w:val="Normal"/>
    <w:next w:val="Normal"/>
    <w:link w:val="SubtitleChar"/>
    <w:rsid w:val="00870CDF"/>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rsid w:val="00870CDF"/>
    <w:rPr>
      <w:rFonts w:asciiTheme="minorHAnsi" w:eastAsiaTheme="minorEastAsia" w:hAnsiTheme="minorHAnsi" w:cstheme="minorBidi"/>
      <w:color w:val="5A5A5A" w:themeColor="text1" w:themeTint="A5"/>
      <w:spacing w:val="15"/>
      <w:sz w:val="22"/>
      <w:szCs w:val="22"/>
    </w:rPr>
  </w:style>
  <w:style w:type="paragraph" w:styleId="MessageHeader">
    <w:name w:val="Message Header"/>
    <w:basedOn w:val="Normal"/>
    <w:link w:val="MessageHeaderChar"/>
    <w:semiHidden/>
    <w:unhideWhenUsed/>
    <w:rsid w:val="00870CDF"/>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rPr>
  </w:style>
  <w:style w:type="character" w:customStyle="1" w:styleId="MessageHeaderChar">
    <w:name w:val="Message Header Char"/>
    <w:basedOn w:val="DefaultParagraphFont"/>
    <w:link w:val="MessageHeader"/>
    <w:semiHidden/>
    <w:rsid w:val="00870CDF"/>
    <w:rPr>
      <w:rFonts w:asciiTheme="majorHAnsi" w:eastAsiaTheme="majorEastAsia" w:hAnsiTheme="majorHAnsi" w:cstheme="majorBidi"/>
      <w:sz w:val="24"/>
      <w:szCs w:val="24"/>
      <w:shd w:val="pct20" w:color="auto" w:fill="auto"/>
    </w:rPr>
  </w:style>
  <w:style w:type="paragraph" w:styleId="ListContinue5">
    <w:name w:val="List Continue 5"/>
    <w:basedOn w:val="Normal"/>
    <w:semiHidden/>
    <w:unhideWhenUsed/>
    <w:rsid w:val="00870CDF"/>
    <w:pPr>
      <w:spacing w:after="120"/>
      <w:ind w:left="1415"/>
      <w:contextualSpacing/>
    </w:pPr>
  </w:style>
  <w:style w:type="paragraph" w:styleId="ListContinue4">
    <w:name w:val="List Continue 4"/>
    <w:basedOn w:val="Normal"/>
    <w:semiHidden/>
    <w:unhideWhenUsed/>
    <w:rsid w:val="00870CDF"/>
    <w:pPr>
      <w:spacing w:after="120"/>
      <w:ind w:left="1132"/>
      <w:contextualSpacing/>
    </w:pPr>
  </w:style>
  <w:style w:type="paragraph" w:styleId="ListContinue3">
    <w:name w:val="List Continue 3"/>
    <w:basedOn w:val="Normal"/>
    <w:semiHidden/>
    <w:unhideWhenUsed/>
    <w:rsid w:val="00870CDF"/>
    <w:pPr>
      <w:spacing w:after="120"/>
      <w:ind w:left="849"/>
      <w:contextualSpacing/>
    </w:pPr>
  </w:style>
  <w:style w:type="paragraph" w:styleId="ListContinue2">
    <w:name w:val="List Continue 2"/>
    <w:basedOn w:val="Normal"/>
    <w:semiHidden/>
    <w:unhideWhenUsed/>
    <w:rsid w:val="00870CDF"/>
    <w:pPr>
      <w:spacing w:after="120"/>
      <w:ind w:left="566"/>
      <w:contextualSpacing/>
    </w:pPr>
  </w:style>
  <w:style w:type="paragraph" w:styleId="ListContinue">
    <w:name w:val="List Continue"/>
    <w:basedOn w:val="Normal"/>
    <w:semiHidden/>
    <w:unhideWhenUsed/>
    <w:rsid w:val="00870CDF"/>
    <w:pPr>
      <w:spacing w:after="120"/>
      <w:ind w:left="283"/>
      <w:contextualSpacing/>
    </w:pPr>
  </w:style>
  <w:style w:type="paragraph" w:styleId="Signature">
    <w:name w:val="Signature"/>
    <w:basedOn w:val="Normal"/>
    <w:link w:val="SignatureChar"/>
    <w:semiHidden/>
    <w:unhideWhenUsed/>
    <w:rsid w:val="00870CDF"/>
    <w:pPr>
      <w:spacing w:line="240" w:lineRule="auto"/>
      <w:ind w:left="4252"/>
    </w:pPr>
  </w:style>
  <w:style w:type="character" w:customStyle="1" w:styleId="SignatureChar">
    <w:name w:val="Signature Char"/>
    <w:basedOn w:val="DefaultParagraphFont"/>
    <w:link w:val="Signature"/>
    <w:semiHidden/>
    <w:rsid w:val="00870CDF"/>
    <w:rPr>
      <w:sz w:val="24"/>
      <w:szCs w:val="24"/>
    </w:rPr>
  </w:style>
  <w:style w:type="paragraph" w:styleId="Closing">
    <w:name w:val="Closing"/>
    <w:basedOn w:val="Normal"/>
    <w:link w:val="ClosingChar"/>
    <w:semiHidden/>
    <w:unhideWhenUsed/>
    <w:rsid w:val="00870CDF"/>
    <w:pPr>
      <w:spacing w:line="240" w:lineRule="auto"/>
      <w:ind w:left="4252"/>
    </w:pPr>
  </w:style>
  <w:style w:type="character" w:customStyle="1" w:styleId="ClosingChar">
    <w:name w:val="Closing Char"/>
    <w:basedOn w:val="DefaultParagraphFont"/>
    <w:link w:val="Closing"/>
    <w:semiHidden/>
    <w:rsid w:val="00870CDF"/>
    <w:rPr>
      <w:sz w:val="24"/>
      <w:szCs w:val="24"/>
    </w:rPr>
  </w:style>
  <w:style w:type="paragraph" w:styleId="Title">
    <w:name w:val="Title"/>
    <w:basedOn w:val="Normal"/>
    <w:next w:val="Normal"/>
    <w:link w:val="TitleChar"/>
    <w:rsid w:val="00870CDF"/>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870CDF"/>
    <w:rPr>
      <w:rFonts w:asciiTheme="majorHAnsi" w:eastAsiaTheme="majorEastAsia" w:hAnsiTheme="majorHAnsi" w:cstheme="majorBidi"/>
      <w:spacing w:val="-10"/>
      <w:kern w:val="28"/>
      <w:sz w:val="56"/>
      <w:szCs w:val="56"/>
    </w:rPr>
  </w:style>
  <w:style w:type="paragraph" w:styleId="ListNumber5">
    <w:name w:val="List Number 5"/>
    <w:basedOn w:val="Normal"/>
    <w:semiHidden/>
    <w:unhideWhenUsed/>
    <w:rsid w:val="00870CDF"/>
    <w:pPr>
      <w:numPr>
        <w:numId w:val="14"/>
      </w:numPr>
      <w:contextualSpacing/>
    </w:pPr>
  </w:style>
  <w:style w:type="paragraph" w:styleId="ListNumber4">
    <w:name w:val="List Number 4"/>
    <w:basedOn w:val="Normal"/>
    <w:semiHidden/>
    <w:unhideWhenUsed/>
    <w:rsid w:val="00870CDF"/>
    <w:pPr>
      <w:numPr>
        <w:numId w:val="15"/>
      </w:numPr>
      <w:contextualSpacing/>
    </w:pPr>
  </w:style>
  <w:style w:type="paragraph" w:styleId="ListNumber3">
    <w:name w:val="List Number 3"/>
    <w:basedOn w:val="Normal"/>
    <w:semiHidden/>
    <w:unhideWhenUsed/>
    <w:rsid w:val="00870CDF"/>
    <w:pPr>
      <w:numPr>
        <w:numId w:val="16"/>
      </w:numPr>
      <w:contextualSpacing/>
    </w:pPr>
  </w:style>
  <w:style w:type="paragraph" w:styleId="ListNumber2">
    <w:name w:val="List Number 2"/>
    <w:basedOn w:val="Normal"/>
    <w:semiHidden/>
    <w:unhideWhenUsed/>
    <w:rsid w:val="00870CDF"/>
    <w:pPr>
      <w:numPr>
        <w:numId w:val="17"/>
      </w:numPr>
      <w:contextualSpacing/>
    </w:pPr>
  </w:style>
  <w:style w:type="paragraph" w:styleId="ListBullet5">
    <w:name w:val="List Bullet 5"/>
    <w:basedOn w:val="Normal"/>
    <w:semiHidden/>
    <w:unhideWhenUsed/>
    <w:rsid w:val="00870CDF"/>
    <w:pPr>
      <w:numPr>
        <w:numId w:val="18"/>
      </w:numPr>
      <w:contextualSpacing/>
    </w:pPr>
  </w:style>
  <w:style w:type="paragraph" w:styleId="ListBullet4">
    <w:name w:val="List Bullet 4"/>
    <w:basedOn w:val="Normal"/>
    <w:semiHidden/>
    <w:unhideWhenUsed/>
    <w:rsid w:val="00870CDF"/>
    <w:pPr>
      <w:numPr>
        <w:numId w:val="19"/>
      </w:numPr>
      <w:contextualSpacing/>
    </w:pPr>
  </w:style>
  <w:style w:type="paragraph" w:styleId="ListBullet3">
    <w:name w:val="List Bullet 3"/>
    <w:basedOn w:val="Normal"/>
    <w:semiHidden/>
    <w:unhideWhenUsed/>
    <w:rsid w:val="00870CDF"/>
    <w:pPr>
      <w:numPr>
        <w:numId w:val="20"/>
      </w:numPr>
      <w:contextualSpacing/>
    </w:pPr>
  </w:style>
  <w:style w:type="paragraph" w:styleId="ListBullet2">
    <w:name w:val="List Bullet 2"/>
    <w:basedOn w:val="Normal"/>
    <w:semiHidden/>
    <w:unhideWhenUsed/>
    <w:rsid w:val="00870CDF"/>
    <w:pPr>
      <w:numPr>
        <w:numId w:val="21"/>
      </w:numPr>
      <w:contextualSpacing/>
    </w:pPr>
  </w:style>
  <w:style w:type="paragraph" w:styleId="List5">
    <w:name w:val="List 5"/>
    <w:basedOn w:val="Normal"/>
    <w:rsid w:val="00870CDF"/>
    <w:pPr>
      <w:ind w:left="1415" w:hanging="283"/>
      <w:contextualSpacing/>
    </w:pPr>
  </w:style>
  <w:style w:type="paragraph" w:styleId="List4">
    <w:name w:val="List 4"/>
    <w:basedOn w:val="Normal"/>
    <w:rsid w:val="00870CDF"/>
    <w:pPr>
      <w:ind w:left="1132" w:hanging="283"/>
      <w:contextualSpacing/>
    </w:pPr>
  </w:style>
  <w:style w:type="paragraph" w:styleId="List3">
    <w:name w:val="List 3"/>
    <w:basedOn w:val="Normal"/>
    <w:semiHidden/>
    <w:unhideWhenUsed/>
    <w:rsid w:val="00870CDF"/>
    <w:pPr>
      <w:ind w:left="849" w:hanging="283"/>
      <w:contextualSpacing/>
    </w:pPr>
  </w:style>
  <w:style w:type="paragraph" w:styleId="List2">
    <w:name w:val="List 2"/>
    <w:basedOn w:val="Normal"/>
    <w:semiHidden/>
    <w:unhideWhenUsed/>
    <w:rsid w:val="00870CDF"/>
    <w:pPr>
      <w:ind w:left="566" w:hanging="283"/>
      <w:contextualSpacing/>
    </w:pPr>
  </w:style>
  <w:style w:type="paragraph" w:styleId="ListNumber">
    <w:name w:val="List Number"/>
    <w:basedOn w:val="Normal"/>
    <w:rsid w:val="00870CDF"/>
    <w:pPr>
      <w:numPr>
        <w:numId w:val="22"/>
      </w:numPr>
      <w:contextualSpacing/>
    </w:pPr>
  </w:style>
  <w:style w:type="paragraph" w:styleId="ListBullet">
    <w:name w:val="List Bullet"/>
    <w:basedOn w:val="Normal"/>
    <w:semiHidden/>
    <w:unhideWhenUsed/>
    <w:rsid w:val="00870CDF"/>
    <w:pPr>
      <w:numPr>
        <w:numId w:val="23"/>
      </w:numPr>
      <w:contextualSpacing/>
    </w:pPr>
  </w:style>
  <w:style w:type="paragraph" w:styleId="List">
    <w:name w:val="List"/>
    <w:basedOn w:val="Normal"/>
    <w:semiHidden/>
    <w:unhideWhenUsed/>
    <w:rsid w:val="00870CDF"/>
    <w:pPr>
      <w:ind w:left="283" w:hanging="283"/>
      <w:contextualSpacing/>
    </w:pPr>
  </w:style>
  <w:style w:type="paragraph" w:styleId="TOAHeading">
    <w:name w:val="toa heading"/>
    <w:basedOn w:val="Normal"/>
    <w:next w:val="Normal"/>
    <w:semiHidden/>
    <w:unhideWhenUsed/>
    <w:rsid w:val="00870CDF"/>
    <w:pPr>
      <w:spacing w:before="120"/>
    </w:pPr>
    <w:rPr>
      <w:rFonts w:asciiTheme="majorHAnsi" w:eastAsiaTheme="majorEastAsia" w:hAnsiTheme="majorHAnsi" w:cstheme="majorBidi"/>
      <w:b/>
      <w:bCs/>
    </w:rPr>
  </w:style>
  <w:style w:type="paragraph" w:styleId="MacroText">
    <w:name w:val="macro"/>
    <w:link w:val="MacroTextChar"/>
    <w:semiHidden/>
    <w:unhideWhenUsed/>
    <w:rsid w:val="00870CDF"/>
    <w:pPr>
      <w:tabs>
        <w:tab w:val="left" w:pos="480"/>
        <w:tab w:val="left" w:pos="960"/>
        <w:tab w:val="left" w:pos="1440"/>
        <w:tab w:val="left" w:pos="1920"/>
        <w:tab w:val="left" w:pos="2400"/>
        <w:tab w:val="left" w:pos="2880"/>
        <w:tab w:val="left" w:pos="3360"/>
        <w:tab w:val="left" w:pos="3840"/>
        <w:tab w:val="left" w:pos="4320"/>
      </w:tabs>
      <w:spacing w:line="480" w:lineRule="auto"/>
    </w:pPr>
    <w:rPr>
      <w:rFonts w:ascii="Consolas" w:hAnsi="Consolas"/>
    </w:rPr>
  </w:style>
  <w:style w:type="character" w:customStyle="1" w:styleId="MacroTextChar">
    <w:name w:val="Macro Text Char"/>
    <w:basedOn w:val="DefaultParagraphFont"/>
    <w:link w:val="MacroText"/>
    <w:semiHidden/>
    <w:rsid w:val="00870CDF"/>
    <w:rPr>
      <w:rFonts w:ascii="Consolas" w:hAnsi="Consolas"/>
    </w:rPr>
  </w:style>
  <w:style w:type="paragraph" w:styleId="TableofAuthorities">
    <w:name w:val="table of authorities"/>
    <w:basedOn w:val="Normal"/>
    <w:next w:val="Normal"/>
    <w:semiHidden/>
    <w:unhideWhenUsed/>
    <w:rsid w:val="00870CDF"/>
    <w:pPr>
      <w:ind w:left="240" w:hanging="240"/>
    </w:pPr>
  </w:style>
  <w:style w:type="character" w:styleId="PageNumber">
    <w:name w:val="page number"/>
    <w:basedOn w:val="DefaultParagraphFont"/>
    <w:semiHidden/>
    <w:unhideWhenUsed/>
    <w:rsid w:val="00870CDF"/>
  </w:style>
  <w:style w:type="character" w:styleId="LineNumber">
    <w:name w:val="line number"/>
    <w:basedOn w:val="DefaultParagraphFont"/>
    <w:semiHidden/>
    <w:unhideWhenUsed/>
    <w:rsid w:val="00870CDF"/>
  </w:style>
  <w:style w:type="paragraph" w:styleId="EnvelopeReturn">
    <w:name w:val="envelope return"/>
    <w:basedOn w:val="Normal"/>
    <w:semiHidden/>
    <w:unhideWhenUsed/>
    <w:rsid w:val="00870CDF"/>
    <w:pPr>
      <w:spacing w:line="240" w:lineRule="auto"/>
    </w:pPr>
    <w:rPr>
      <w:rFonts w:asciiTheme="majorHAnsi" w:eastAsiaTheme="majorEastAsia" w:hAnsiTheme="majorHAnsi" w:cstheme="majorBidi"/>
      <w:sz w:val="20"/>
      <w:szCs w:val="20"/>
    </w:rPr>
  </w:style>
  <w:style w:type="paragraph" w:styleId="EnvelopeAddress">
    <w:name w:val="envelope address"/>
    <w:basedOn w:val="Normal"/>
    <w:semiHidden/>
    <w:unhideWhenUsed/>
    <w:rsid w:val="00870CDF"/>
    <w:pPr>
      <w:framePr w:w="4320" w:h="2160" w:hRule="exact" w:hSpace="141" w:wrap="auto" w:hAnchor="page" w:xAlign="center" w:yAlign="bottom"/>
      <w:spacing w:line="240" w:lineRule="auto"/>
      <w:ind w:left="1"/>
    </w:pPr>
    <w:rPr>
      <w:rFonts w:asciiTheme="majorHAnsi" w:eastAsiaTheme="majorEastAsia" w:hAnsiTheme="majorHAnsi" w:cstheme="majorBidi"/>
    </w:rPr>
  </w:style>
  <w:style w:type="paragraph" w:styleId="TableofFigures">
    <w:name w:val="table of figures"/>
    <w:basedOn w:val="Normal"/>
    <w:next w:val="Normal"/>
    <w:semiHidden/>
    <w:unhideWhenUsed/>
    <w:rsid w:val="00870CDF"/>
  </w:style>
  <w:style w:type="paragraph" w:styleId="Index1">
    <w:name w:val="index 1"/>
    <w:basedOn w:val="Normal"/>
    <w:next w:val="Normal"/>
    <w:autoRedefine/>
    <w:semiHidden/>
    <w:unhideWhenUsed/>
    <w:rsid w:val="00870CDF"/>
    <w:pPr>
      <w:spacing w:line="240" w:lineRule="auto"/>
      <w:ind w:left="240" w:hanging="240"/>
    </w:pPr>
  </w:style>
  <w:style w:type="paragraph" w:styleId="IndexHeading">
    <w:name w:val="index heading"/>
    <w:basedOn w:val="Normal"/>
    <w:next w:val="Index1"/>
    <w:semiHidden/>
    <w:unhideWhenUsed/>
    <w:rsid w:val="00870CDF"/>
    <w:rPr>
      <w:rFonts w:asciiTheme="majorHAnsi" w:eastAsiaTheme="majorEastAsia" w:hAnsiTheme="majorHAnsi" w:cstheme="majorBidi"/>
      <w:b/>
      <w:bCs/>
    </w:rPr>
  </w:style>
  <w:style w:type="paragraph" w:styleId="TOC9">
    <w:name w:val="toc 9"/>
    <w:basedOn w:val="Normal"/>
    <w:next w:val="Normal"/>
    <w:autoRedefine/>
    <w:semiHidden/>
    <w:unhideWhenUsed/>
    <w:rsid w:val="00870CDF"/>
    <w:pPr>
      <w:spacing w:after="100"/>
      <w:ind w:left="1920"/>
    </w:pPr>
  </w:style>
  <w:style w:type="paragraph" w:styleId="TOC8">
    <w:name w:val="toc 8"/>
    <w:basedOn w:val="Normal"/>
    <w:next w:val="Normal"/>
    <w:autoRedefine/>
    <w:semiHidden/>
    <w:unhideWhenUsed/>
    <w:rsid w:val="00870CDF"/>
    <w:pPr>
      <w:spacing w:after="100"/>
      <w:ind w:left="1680"/>
    </w:pPr>
  </w:style>
  <w:style w:type="paragraph" w:styleId="TOC7">
    <w:name w:val="toc 7"/>
    <w:basedOn w:val="Normal"/>
    <w:next w:val="Normal"/>
    <w:autoRedefine/>
    <w:semiHidden/>
    <w:unhideWhenUsed/>
    <w:rsid w:val="00870CDF"/>
    <w:pPr>
      <w:spacing w:after="100"/>
      <w:ind w:left="1440"/>
    </w:pPr>
  </w:style>
  <w:style w:type="paragraph" w:styleId="TOC6">
    <w:name w:val="toc 6"/>
    <w:basedOn w:val="Normal"/>
    <w:next w:val="Normal"/>
    <w:autoRedefine/>
    <w:semiHidden/>
    <w:unhideWhenUsed/>
    <w:rsid w:val="00870CDF"/>
    <w:pPr>
      <w:spacing w:after="100"/>
      <w:ind w:left="1200"/>
    </w:pPr>
  </w:style>
  <w:style w:type="paragraph" w:styleId="TOC5">
    <w:name w:val="toc 5"/>
    <w:basedOn w:val="Normal"/>
    <w:next w:val="Normal"/>
    <w:autoRedefine/>
    <w:semiHidden/>
    <w:unhideWhenUsed/>
    <w:rsid w:val="00870CDF"/>
    <w:pPr>
      <w:spacing w:after="100"/>
      <w:ind w:left="960"/>
    </w:pPr>
  </w:style>
  <w:style w:type="paragraph" w:styleId="TOC4">
    <w:name w:val="toc 4"/>
    <w:basedOn w:val="Normal"/>
    <w:next w:val="Normal"/>
    <w:autoRedefine/>
    <w:semiHidden/>
    <w:unhideWhenUsed/>
    <w:rsid w:val="00870CDF"/>
    <w:pPr>
      <w:spacing w:after="100"/>
      <w:ind w:left="720"/>
    </w:pPr>
  </w:style>
  <w:style w:type="paragraph" w:styleId="TOC3">
    <w:name w:val="toc 3"/>
    <w:basedOn w:val="Normal"/>
    <w:next w:val="Normal"/>
    <w:autoRedefine/>
    <w:semiHidden/>
    <w:unhideWhenUsed/>
    <w:rsid w:val="00870CDF"/>
    <w:pPr>
      <w:spacing w:after="100"/>
      <w:ind w:left="480"/>
    </w:pPr>
  </w:style>
  <w:style w:type="paragraph" w:styleId="TOC2">
    <w:name w:val="toc 2"/>
    <w:basedOn w:val="Normal"/>
    <w:next w:val="Normal"/>
    <w:autoRedefine/>
    <w:semiHidden/>
    <w:unhideWhenUsed/>
    <w:rsid w:val="00870CDF"/>
    <w:pPr>
      <w:spacing w:after="100"/>
      <w:ind w:left="240"/>
    </w:pPr>
  </w:style>
  <w:style w:type="paragraph" w:styleId="TOC1">
    <w:name w:val="toc 1"/>
    <w:basedOn w:val="Normal"/>
    <w:next w:val="Normal"/>
    <w:autoRedefine/>
    <w:semiHidden/>
    <w:unhideWhenUsed/>
    <w:rsid w:val="00870CDF"/>
    <w:pPr>
      <w:spacing w:after="100"/>
    </w:pPr>
  </w:style>
  <w:style w:type="paragraph" w:styleId="Index9">
    <w:name w:val="index 9"/>
    <w:basedOn w:val="Normal"/>
    <w:next w:val="Normal"/>
    <w:autoRedefine/>
    <w:semiHidden/>
    <w:unhideWhenUsed/>
    <w:rsid w:val="00870CDF"/>
    <w:pPr>
      <w:spacing w:line="240" w:lineRule="auto"/>
      <w:ind w:left="2160" w:hanging="240"/>
    </w:pPr>
  </w:style>
  <w:style w:type="paragraph" w:styleId="Index8">
    <w:name w:val="index 8"/>
    <w:basedOn w:val="Normal"/>
    <w:next w:val="Normal"/>
    <w:autoRedefine/>
    <w:semiHidden/>
    <w:unhideWhenUsed/>
    <w:rsid w:val="00870CDF"/>
    <w:pPr>
      <w:spacing w:line="240" w:lineRule="auto"/>
      <w:ind w:left="1920" w:hanging="240"/>
    </w:pPr>
  </w:style>
  <w:style w:type="paragraph" w:styleId="Index7">
    <w:name w:val="index 7"/>
    <w:basedOn w:val="Normal"/>
    <w:next w:val="Normal"/>
    <w:autoRedefine/>
    <w:semiHidden/>
    <w:unhideWhenUsed/>
    <w:rsid w:val="00870CDF"/>
    <w:pPr>
      <w:spacing w:line="240" w:lineRule="auto"/>
      <w:ind w:left="1680" w:hanging="240"/>
    </w:pPr>
  </w:style>
  <w:style w:type="paragraph" w:styleId="Index6">
    <w:name w:val="index 6"/>
    <w:basedOn w:val="Normal"/>
    <w:next w:val="Normal"/>
    <w:autoRedefine/>
    <w:semiHidden/>
    <w:unhideWhenUsed/>
    <w:rsid w:val="00870CDF"/>
    <w:pPr>
      <w:spacing w:line="240" w:lineRule="auto"/>
      <w:ind w:left="1440" w:hanging="240"/>
    </w:pPr>
  </w:style>
  <w:style w:type="paragraph" w:styleId="Index5">
    <w:name w:val="index 5"/>
    <w:basedOn w:val="Normal"/>
    <w:next w:val="Normal"/>
    <w:autoRedefine/>
    <w:semiHidden/>
    <w:unhideWhenUsed/>
    <w:rsid w:val="00870CDF"/>
    <w:pPr>
      <w:spacing w:line="240" w:lineRule="auto"/>
      <w:ind w:left="1200" w:hanging="240"/>
    </w:pPr>
  </w:style>
  <w:style w:type="paragraph" w:styleId="Index4">
    <w:name w:val="index 4"/>
    <w:basedOn w:val="Normal"/>
    <w:next w:val="Normal"/>
    <w:autoRedefine/>
    <w:semiHidden/>
    <w:unhideWhenUsed/>
    <w:rsid w:val="00870CDF"/>
    <w:pPr>
      <w:spacing w:line="240" w:lineRule="auto"/>
      <w:ind w:left="960" w:hanging="240"/>
    </w:pPr>
  </w:style>
  <w:style w:type="paragraph" w:styleId="Index3">
    <w:name w:val="index 3"/>
    <w:basedOn w:val="Normal"/>
    <w:next w:val="Normal"/>
    <w:autoRedefine/>
    <w:semiHidden/>
    <w:unhideWhenUsed/>
    <w:rsid w:val="00870CDF"/>
    <w:pPr>
      <w:spacing w:line="240" w:lineRule="auto"/>
      <w:ind w:left="720" w:hanging="240"/>
    </w:pPr>
  </w:style>
  <w:style w:type="paragraph" w:styleId="Index2">
    <w:name w:val="index 2"/>
    <w:basedOn w:val="Normal"/>
    <w:next w:val="Normal"/>
    <w:autoRedefine/>
    <w:semiHidden/>
    <w:unhideWhenUsed/>
    <w:rsid w:val="00870CDF"/>
    <w:pPr>
      <w:spacing w:line="240" w:lineRule="auto"/>
      <w:ind w:left="480" w:hanging="240"/>
    </w:pPr>
  </w:style>
  <w:style w:type="paragraph" w:styleId="E-mailSignature">
    <w:name w:val="E-mail Signature"/>
    <w:basedOn w:val="Normal"/>
    <w:link w:val="E-mailSignatureChar"/>
    <w:semiHidden/>
    <w:unhideWhenUsed/>
    <w:rsid w:val="00C9681F"/>
    <w:pPr>
      <w:spacing w:line="240" w:lineRule="auto"/>
    </w:pPr>
  </w:style>
  <w:style w:type="character" w:customStyle="1" w:styleId="E-mailSignatureChar">
    <w:name w:val="E-mail Signature Char"/>
    <w:basedOn w:val="DefaultParagraphFont"/>
    <w:link w:val="E-mailSignature"/>
    <w:semiHidden/>
    <w:rsid w:val="00C9681F"/>
    <w:rPr>
      <w:sz w:val="24"/>
      <w:szCs w:val="24"/>
    </w:rPr>
  </w:style>
  <w:style w:type="character" w:customStyle="1" w:styleId="Mention">
    <w:name w:val="Mention"/>
    <w:basedOn w:val="DefaultParagraphFont"/>
    <w:uiPriority w:val="99"/>
    <w:unhideWhenUsed/>
    <w:rsid w:val="00F174C0"/>
    <w:rPr>
      <w:color w:val="2B579A"/>
      <w:shd w:val="clear" w:color="auto" w:fill="E1DFDD"/>
    </w:rPr>
  </w:style>
  <w:style w:type="character" w:customStyle="1" w:styleId="UnresolvedMention">
    <w:name w:val="Unresolved Mention"/>
    <w:basedOn w:val="DefaultParagraphFont"/>
    <w:uiPriority w:val="99"/>
    <w:semiHidden/>
    <w:unhideWhenUsed/>
    <w:rsid w:val="00A625C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240142">
      <w:bodyDiv w:val="1"/>
      <w:marLeft w:val="0"/>
      <w:marRight w:val="0"/>
      <w:marTop w:val="0"/>
      <w:marBottom w:val="0"/>
      <w:divBdr>
        <w:top w:val="none" w:sz="0" w:space="0" w:color="auto"/>
        <w:left w:val="none" w:sz="0" w:space="0" w:color="auto"/>
        <w:bottom w:val="none" w:sz="0" w:space="0" w:color="auto"/>
        <w:right w:val="none" w:sz="0" w:space="0" w:color="auto"/>
      </w:divBdr>
    </w:div>
    <w:div w:id="152374934">
      <w:bodyDiv w:val="1"/>
      <w:marLeft w:val="0"/>
      <w:marRight w:val="0"/>
      <w:marTop w:val="0"/>
      <w:marBottom w:val="0"/>
      <w:divBdr>
        <w:top w:val="none" w:sz="0" w:space="0" w:color="auto"/>
        <w:left w:val="none" w:sz="0" w:space="0" w:color="auto"/>
        <w:bottom w:val="none" w:sz="0" w:space="0" w:color="auto"/>
        <w:right w:val="none" w:sz="0" w:space="0" w:color="auto"/>
      </w:divBdr>
      <w:divsChild>
        <w:div w:id="583688496">
          <w:marLeft w:val="302"/>
          <w:marRight w:val="0"/>
          <w:marTop w:val="0"/>
          <w:marBottom w:val="0"/>
          <w:divBdr>
            <w:top w:val="none" w:sz="0" w:space="0" w:color="auto"/>
            <w:left w:val="none" w:sz="0" w:space="0" w:color="auto"/>
            <w:bottom w:val="none" w:sz="0" w:space="0" w:color="auto"/>
            <w:right w:val="none" w:sz="0" w:space="0" w:color="auto"/>
          </w:divBdr>
        </w:div>
        <w:div w:id="960961513">
          <w:marLeft w:val="302"/>
          <w:marRight w:val="0"/>
          <w:marTop w:val="0"/>
          <w:marBottom w:val="0"/>
          <w:divBdr>
            <w:top w:val="none" w:sz="0" w:space="0" w:color="auto"/>
            <w:left w:val="none" w:sz="0" w:space="0" w:color="auto"/>
            <w:bottom w:val="none" w:sz="0" w:space="0" w:color="auto"/>
            <w:right w:val="none" w:sz="0" w:space="0" w:color="auto"/>
          </w:divBdr>
        </w:div>
        <w:div w:id="1410224736">
          <w:marLeft w:val="302"/>
          <w:marRight w:val="0"/>
          <w:marTop w:val="0"/>
          <w:marBottom w:val="0"/>
          <w:divBdr>
            <w:top w:val="none" w:sz="0" w:space="0" w:color="auto"/>
            <w:left w:val="none" w:sz="0" w:space="0" w:color="auto"/>
            <w:bottom w:val="none" w:sz="0" w:space="0" w:color="auto"/>
            <w:right w:val="none" w:sz="0" w:space="0" w:color="auto"/>
          </w:divBdr>
        </w:div>
        <w:div w:id="2081824675">
          <w:marLeft w:val="302"/>
          <w:marRight w:val="0"/>
          <w:marTop w:val="0"/>
          <w:marBottom w:val="0"/>
          <w:divBdr>
            <w:top w:val="none" w:sz="0" w:space="0" w:color="auto"/>
            <w:left w:val="none" w:sz="0" w:space="0" w:color="auto"/>
            <w:bottom w:val="none" w:sz="0" w:space="0" w:color="auto"/>
            <w:right w:val="none" w:sz="0" w:space="0" w:color="auto"/>
          </w:divBdr>
        </w:div>
      </w:divsChild>
    </w:div>
    <w:div w:id="160198450">
      <w:bodyDiv w:val="1"/>
      <w:marLeft w:val="0"/>
      <w:marRight w:val="0"/>
      <w:marTop w:val="0"/>
      <w:marBottom w:val="0"/>
      <w:divBdr>
        <w:top w:val="none" w:sz="0" w:space="0" w:color="auto"/>
        <w:left w:val="none" w:sz="0" w:space="0" w:color="auto"/>
        <w:bottom w:val="none" w:sz="0" w:space="0" w:color="auto"/>
        <w:right w:val="none" w:sz="0" w:space="0" w:color="auto"/>
      </w:divBdr>
    </w:div>
    <w:div w:id="164132299">
      <w:bodyDiv w:val="1"/>
      <w:marLeft w:val="0"/>
      <w:marRight w:val="0"/>
      <w:marTop w:val="0"/>
      <w:marBottom w:val="0"/>
      <w:divBdr>
        <w:top w:val="none" w:sz="0" w:space="0" w:color="auto"/>
        <w:left w:val="none" w:sz="0" w:space="0" w:color="auto"/>
        <w:bottom w:val="none" w:sz="0" w:space="0" w:color="auto"/>
        <w:right w:val="none" w:sz="0" w:space="0" w:color="auto"/>
      </w:divBdr>
      <w:divsChild>
        <w:div w:id="42489062">
          <w:marLeft w:val="0"/>
          <w:marRight w:val="0"/>
          <w:marTop w:val="0"/>
          <w:marBottom w:val="0"/>
          <w:divBdr>
            <w:top w:val="none" w:sz="0" w:space="0" w:color="auto"/>
            <w:left w:val="none" w:sz="0" w:space="0" w:color="auto"/>
            <w:bottom w:val="none" w:sz="0" w:space="0" w:color="auto"/>
            <w:right w:val="none" w:sz="0" w:space="0" w:color="auto"/>
          </w:divBdr>
        </w:div>
      </w:divsChild>
    </w:div>
    <w:div w:id="165247670">
      <w:bodyDiv w:val="1"/>
      <w:marLeft w:val="0"/>
      <w:marRight w:val="0"/>
      <w:marTop w:val="0"/>
      <w:marBottom w:val="0"/>
      <w:divBdr>
        <w:top w:val="none" w:sz="0" w:space="0" w:color="auto"/>
        <w:left w:val="none" w:sz="0" w:space="0" w:color="auto"/>
        <w:bottom w:val="none" w:sz="0" w:space="0" w:color="auto"/>
        <w:right w:val="none" w:sz="0" w:space="0" w:color="auto"/>
      </w:divBdr>
    </w:div>
    <w:div w:id="414976123">
      <w:bodyDiv w:val="1"/>
      <w:marLeft w:val="0"/>
      <w:marRight w:val="0"/>
      <w:marTop w:val="0"/>
      <w:marBottom w:val="0"/>
      <w:divBdr>
        <w:top w:val="none" w:sz="0" w:space="0" w:color="auto"/>
        <w:left w:val="none" w:sz="0" w:space="0" w:color="auto"/>
        <w:bottom w:val="none" w:sz="0" w:space="0" w:color="auto"/>
        <w:right w:val="none" w:sz="0" w:space="0" w:color="auto"/>
      </w:divBdr>
    </w:div>
    <w:div w:id="517888371">
      <w:bodyDiv w:val="1"/>
      <w:marLeft w:val="0"/>
      <w:marRight w:val="0"/>
      <w:marTop w:val="0"/>
      <w:marBottom w:val="0"/>
      <w:divBdr>
        <w:top w:val="none" w:sz="0" w:space="0" w:color="auto"/>
        <w:left w:val="none" w:sz="0" w:space="0" w:color="auto"/>
        <w:bottom w:val="none" w:sz="0" w:space="0" w:color="auto"/>
        <w:right w:val="none" w:sz="0" w:space="0" w:color="auto"/>
      </w:divBdr>
    </w:div>
    <w:div w:id="547575096">
      <w:bodyDiv w:val="1"/>
      <w:marLeft w:val="0"/>
      <w:marRight w:val="0"/>
      <w:marTop w:val="0"/>
      <w:marBottom w:val="0"/>
      <w:divBdr>
        <w:top w:val="none" w:sz="0" w:space="0" w:color="auto"/>
        <w:left w:val="none" w:sz="0" w:space="0" w:color="auto"/>
        <w:bottom w:val="none" w:sz="0" w:space="0" w:color="auto"/>
        <w:right w:val="none" w:sz="0" w:space="0" w:color="auto"/>
      </w:divBdr>
    </w:div>
    <w:div w:id="632561714">
      <w:bodyDiv w:val="1"/>
      <w:marLeft w:val="0"/>
      <w:marRight w:val="0"/>
      <w:marTop w:val="0"/>
      <w:marBottom w:val="0"/>
      <w:divBdr>
        <w:top w:val="none" w:sz="0" w:space="0" w:color="auto"/>
        <w:left w:val="none" w:sz="0" w:space="0" w:color="auto"/>
        <w:bottom w:val="none" w:sz="0" w:space="0" w:color="auto"/>
        <w:right w:val="none" w:sz="0" w:space="0" w:color="auto"/>
      </w:divBdr>
    </w:div>
    <w:div w:id="652099485">
      <w:bodyDiv w:val="1"/>
      <w:marLeft w:val="0"/>
      <w:marRight w:val="0"/>
      <w:marTop w:val="0"/>
      <w:marBottom w:val="0"/>
      <w:divBdr>
        <w:top w:val="none" w:sz="0" w:space="0" w:color="auto"/>
        <w:left w:val="none" w:sz="0" w:space="0" w:color="auto"/>
        <w:bottom w:val="none" w:sz="0" w:space="0" w:color="auto"/>
        <w:right w:val="none" w:sz="0" w:space="0" w:color="auto"/>
      </w:divBdr>
    </w:div>
    <w:div w:id="698697930">
      <w:bodyDiv w:val="1"/>
      <w:marLeft w:val="0"/>
      <w:marRight w:val="0"/>
      <w:marTop w:val="0"/>
      <w:marBottom w:val="0"/>
      <w:divBdr>
        <w:top w:val="none" w:sz="0" w:space="0" w:color="auto"/>
        <w:left w:val="none" w:sz="0" w:space="0" w:color="auto"/>
        <w:bottom w:val="none" w:sz="0" w:space="0" w:color="auto"/>
        <w:right w:val="none" w:sz="0" w:space="0" w:color="auto"/>
      </w:divBdr>
    </w:div>
    <w:div w:id="726074682">
      <w:bodyDiv w:val="1"/>
      <w:marLeft w:val="0"/>
      <w:marRight w:val="0"/>
      <w:marTop w:val="0"/>
      <w:marBottom w:val="0"/>
      <w:divBdr>
        <w:top w:val="none" w:sz="0" w:space="0" w:color="auto"/>
        <w:left w:val="none" w:sz="0" w:space="0" w:color="auto"/>
        <w:bottom w:val="none" w:sz="0" w:space="0" w:color="auto"/>
        <w:right w:val="none" w:sz="0" w:space="0" w:color="auto"/>
      </w:divBdr>
    </w:div>
    <w:div w:id="740374104">
      <w:bodyDiv w:val="1"/>
      <w:marLeft w:val="0"/>
      <w:marRight w:val="0"/>
      <w:marTop w:val="0"/>
      <w:marBottom w:val="0"/>
      <w:divBdr>
        <w:top w:val="none" w:sz="0" w:space="0" w:color="auto"/>
        <w:left w:val="none" w:sz="0" w:space="0" w:color="auto"/>
        <w:bottom w:val="none" w:sz="0" w:space="0" w:color="auto"/>
        <w:right w:val="none" w:sz="0" w:space="0" w:color="auto"/>
      </w:divBdr>
    </w:div>
    <w:div w:id="750346128">
      <w:bodyDiv w:val="1"/>
      <w:marLeft w:val="0"/>
      <w:marRight w:val="0"/>
      <w:marTop w:val="0"/>
      <w:marBottom w:val="0"/>
      <w:divBdr>
        <w:top w:val="none" w:sz="0" w:space="0" w:color="auto"/>
        <w:left w:val="none" w:sz="0" w:space="0" w:color="auto"/>
        <w:bottom w:val="none" w:sz="0" w:space="0" w:color="auto"/>
        <w:right w:val="none" w:sz="0" w:space="0" w:color="auto"/>
      </w:divBdr>
    </w:div>
    <w:div w:id="759957822">
      <w:bodyDiv w:val="1"/>
      <w:marLeft w:val="0"/>
      <w:marRight w:val="0"/>
      <w:marTop w:val="0"/>
      <w:marBottom w:val="0"/>
      <w:divBdr>
        <w:top w:val="none" w:sz="0" w:space="0" w:color="auto"/>
        <w:left w:val="none" w:sz="0" w:space="0" w:color="auto"/>
        <w:bottom w:val="none" w:sz="0" w:space="0" w:color="auto"/>
        <w:right w:val="none" w:sz="0" w:space="0" w:color="auto"/>
      </w:divBdr>
    </w:div>
    <w:div w:id="843397554">
      <w:bodyDiv w:val="1"/>
      <w:marLeft w:val="0"/>
      <w:marRight w:val="0"/>
      <w:marTop w:val="0"/>
      <w:marBottom w:val="0"/>
      <w:divBdr>
        <w:top w:val="none" w:sz="0" w:space="0" w:color="auto"/>
        <w:left w:val="none" w:sz="0" w:space="0" w:color="auto"/>
        <w:bottom w:val="none" w:sz="0" w:space="0" w:color="auto"/>
        <w:right w:val="none" w:sz="0" w:space="0" w:color="auto"/>
      </w:divBdr>
    </w:div>
    <w:div w:id="904141272">
      <w:bodyDiv w:val="1"/>
      <w:marLeft w:val="0"/>
      <w:marRight w:val="0"/>
      <w:marTop w:val="0"/>
      <w:marBottom w:val="0"/>
      <w:divBdr>
        <w:top w:val="none" w:sz="0" w:space="0" w:color="auto"/>
        <w:left w:val="none" w:sz="0" w:space="0" w:color="auto"/>
        <w:bottom w:val="none" w:sz="0" w:space="0" w:color="auto"/>
        <w:right w:val="none" w:sz="0" w:space="0" w:color="auto"/>
      </w:divBdr>
    </w:div>
    <w:div w:id="909926053">
      <w:bodyDiv w:val="1"/>
      <w:marLeft w:val="0"/>
      <w:marRight w:val="0"/>
      <w:marTop w:val="0"/>
      <w:marBottom w:val="0"/>
      <w:divBdr>
        <w:top w:val="none" w:sz="0" w:space="0" w:color="auto"/>
        <w:left w:val="none" w:sz="0" w:space="0" w:color="auto"/>
        <w:bottom w:val="none" w:sz="0" w:space="0" w:color="auto"/>
        <w:right w:val="none" w:sz="0" w:space="0" w:color="auto"/>
      </w:divBdr>
    </w:div>
    <w:div w:id="929001335">
      <w:bodyDiv w:val="1"/>
      <w:marLeft w:val="0"/>
      <w:marRight w:val="0"/>
      <w:marTop w:val="0"/>
      <w:marBottom w:val="0"/>
      <w:divBdr>
        <w:top w:val="none" w:sz="0" w:space="0" w:color="auto"/>
        <w:left w:val="none" w:sz="0" w:space="0" w:color="auto"/>
        <w:bottom w:val="none" w:sz="0" w:space="0" w:color="auto"/>
        <w:right w:val="none" w:sz="0" w:space="0" w:color="auto"/>
      </w:divBdr>
    </w:div>
    <w:div w:id="964653103">
      <w:bodyDiv w:val="1"/>
      <w:marLeft w:val="0"/>
      <w:marRight w:val="0"/>
      <w:marTop w:val="0"/>
      <w:marBottom w:val="0"/>
      <w:divBdr>
        <w:top w:val="none" w:sz="0" w:space="0" w:color="auto"/>
        <w:left w:val="none" w:sz="0" w:space="0" w:color="auto"/>
        <w:bottom w:val="none" w:sz="0" w:space="0" w:color="auto"/>
        <w:right w:val="none" w:sz="0" w:space="0" w:color="auto"/>
      </w:divBdr>
    </w:div>
    <w:div w:id="968899058">
      <w:bodyDiv w:val="1"/>
      <w:marLeft w:val="0"/>
      <w:marRight w:val="0"/>
      <w:marTop w:val="0"/>
      <w:marBottom w:val="0"/>
      <w:divBdr>
        <w:top w:val="none" w:sz="0" w:space="0" w:color="auto"/>
        <w:left w:val="none" w:sz="0" w:space="0" w:color="auto"/>
        <w:bottom w:val="none" w:sz="0" w:space="0" w:color="auto"/>
        <w:right w:val="none" w:sz="0" w:space="0" w:color="auto"/>
      </w:divBdr>
    </w:div>
    <w:div w:id="1008943207">
      <w:bodyDiv w:val="1"/>
      <w:marLeft w:val="0"/>
      <w:marRight w:val="0"/>
      <w:marTop w:val="0"/>
      <w:marBottom w:val="0"/>
      <w:divBdr>
        <w:top w:val="none" w:sz="0" w:space="0" w:color="auto"/>
        <w:left w:val="none" w:sz="0" w:space="0" w:color="auto"/>
        <w:bottom w:val="none" w:sz="0" w:space="0" w:color="auto"/>
        <w:right w:val="none" w:sz="0" w:space="0" w:color="auto"/>
      </w:divBdr>
    </w:div>
    <w:div w:id="1096707956">
      <w:bodyDiv w:val="1"/>
      <w:marLeft w:val="0"/>
      <w:marRight w:val="0"/>
      <w:marTop w:val="0"/>
      <w:marBottom w:val="0"/>
      <w:divBdr>
        <w:top w:val="none" w:sz="0" w:space="0" w:color="auto"/>
        <w:left w:val="none" w:sz="0" w:space="0" w:color="auto"/>
        <w:bottom w:val="none" w:sz="0" w:space="0" w:color="auto"/>
        <w:right w:val="none" w:sz="0" w:space="0" w:color="auto"/>
      </w:divBdr>
    </w:div>
    <w:div w:id="1111315513">
      <w:bodyDiv w:val="1"/>
      <w:marLeft w:val="0"/>
      <w:marRight w:val="0"/>
      <w:marTop w:val="0"/>
      <w:marBottom w:val="0"/>
      <w:divBdr>
        <w:top w:val="none" w:sz="0" w:space="0" w:color="auto"/>
        <w:left w:val="none" w:sz="0" w:space="0" w:color="auto"/>
        <w:bottom w:val="none" w:sz="0" w:space="0" w:color="auto"/>
        <w:right w:val="none" w:sz="0" w:space="0" w:color="auto"/>
      </w:divBdr>
    </w:div>
    <w:div w:id="1119757782">
      <w:bodyDiv w:val="1"/>
      <w:marLeft w:val="0"/>
      <w:marRight w:val="0"/>
      <w:marTop w:val="0"/>
      <w:marBottom w:val="0"/>
      <w:divBdr>
        <w:top w:val="none" w:sz="0" w:space="0" w:color="auto"/>
        <w:left w:val="none" w:sz="0" w:space="0" w:color="auto"/>
        <w:bottom w:val="none" w:sz="0" w:space="0" w:color="auto"/>
        <w:right w:val="none" w:sz="0" w:space="0" w:color="auto"/>
      </w:divBdr>
    </w:div>
    <w:div w:id="1227034274">
      <w:bodyDiv w:val="1"/>
      <w:marLeft w:val="0"/>
      <w:marRight w:val="0"/>
      <w:marTop w:val="0"/>
      <w:marBottom w:val="0"/>
      <w:divBdr>
        <w:top w:val="none" w:sz="0" w:space="0" w:color="auto"/>
        <w:left w:val="none" w:sz="0" w:space="0" w:color="auto"/>
        <w:bottom w:val="none" w:sz="0" w:space="0" w:color="auto"/>
        <w:right w:val="none" w:sz="0" w:space="0" w:color="auto"/>
      </w:divBdr>
    </w:div>
    <w:div w:id="1232422342">
      <w:bodyDiv w:val="1"/>
      <w:marLeft w:val="0"/>
      <w:marRight w:val="0"/>
      <w:marTop w:val="0"/>
      <w:marBottom w:val="0"/>
      <w:divBdr>
        <w:top w:val="none" w:sz="0" w:space="0" w:color="auto"/>
        <w:left w:val="none" w:sz="0" w:space="0" w:color="auto"/>
        <w:bottom w:val="none" w:sz="0" w:space="0" w:color="auto"/>
        <w:right w:val="none" w:sz="0" w:space="0" w:color="auto"/>
      </w:divBdr>
    </w:div>
    <w:div w:id="1275091449">
      <w:bodyDiv w:val="1"/>
      <w:marLeft w:val="0"/>
      <w:marRight w:val="0"/>
      <w:marTop w:val="0"/>
      <w:marBottom w:val="0"/>
      <w:divBdr>
        <w:top w:val="none" w:sz="0" w:space="0" w:color="auto"/>
        <w:left w:val="none" w:sz="0" w:space="0" w:color="auto"/>
        <w:bottom w:val="none" w:sz="0" w:space="0" w:color="auto"/>
        <w:right w:val="none" w:sz="0" w:space="0" w:color="auto"/>
      </w:divBdr>
    </w:div>
    <w:div w:id="1287196601">
      <w:bodyDiv w:val="1"/>
      <w:marLeft w:val="0"/>
      <w:marRight w:val="0"/>
      <w:marTop w:val="0"/>
      <w:marBottom w:val="0"/>
      <w:divBdr>
        <w:top w:val="none" w:sz="0" w:space="0" w:color="auto"/>
        <w:left w:val="none" w:sz="0" w:space="0" w:color="auto"/>
        <w:bottom w:val="none" w:sz="0" w:space="0" w:color="auto"/>
        <w:right w:val="none" w:sz="0" w:space="0" w:color="auto"/>
      </w:divBdr>
    </w:div>
    <w:div w:id="1335840453">
      <w:bodyDiv w:val="1"/>
      <w:marLeft w:val="0"/>
      <w:marRight w:val="0"/>
      <w:marTop w:val="0"/>
      <w:marBottom w:val="0"/>
      <w:divBdr>
        <w:top w:val="none" w:sz="0" w:space="0" w:color="auto"/>
        <w:left w:val="none" w:sz="0" w:space="0" w:color="auto"/>
        <w:bottom w:val="none" w:sz="0" w:space="0" w:color="auto"/>
        <w:right w:val="none" w:sz="0" w:space="0" w:color="auto"/>
      </w:divBdr>
      <w:divsChild>
        <w:div w:id="606038512">
          <w:marLeft w:val="403"/>
          <w:marRight w:val="0"/>
          <w:marTop w:val="77"/>
          <w:marBottom w:val="0"/>
          <w:divBdr>
            <w:top w:val="none" w:sz="0" w:space="0" w:color="auto"/>
            <w:left w:val="none" w:sz="0" w:space="0" w:color="auto"/>
            <w:bottom w:val="none" w:sz="0" w:space="0" w:color="auto"/>
            <w:right w:val="none" w:sz="0" w:space="0" w:color="auto"/>
          </w:divBdr>
        </w:div>
        <w:div w:id="624387511">
          <w:marLeft w:val="792"/>
          <w:marRight w:val="0"/>
          <w:marTop w:val="58"/>
          <w:marBottom w:val="0"/>
          <w:divBdr>
            <w:top w:val="none" w:sz="0" w:space="0" w:color="auto"/>
            <w:left w:val="none" w:sz="0" w:space="0" w:color="auto"/>
            <w:bottom w:val="none" w:sz="0" w:space="0" w:color="auto"/>
            <w:right w:val="none" w:sz="0" w:space="0" w:color="auto"/>
          </w:divBdr>
        </w:div>
        <w:div w:id="727146502">
          <w:marLeft w:val="403"/>
          <w:marRight w:val="0"/>
          <w:marTop w:val="77"/>
          <w:marBottom w:val="0"/>
          <w:divBdr>
            <w:top w:val="none" w:sz="0" w:space="0" w:color="auto"/>
            <w:left w:val="none" w:sz="0" w:space="0" w:color="auto"/>
            <w:bottom w:val="none" w:sz="0" w:space="0" w:color="auto"/>
            <w:right w:val="none" w:sz="0" w:space="0" w:color="auto"/>
          </w:divBdr>
        </w:div>
        <w:div w:id="736822780">
          <w:marLeft w:val="403"/>
          <w:marRight w:val="0"/>
          <w:marTop w:val="77"/>
          <w:marBottom w:val="0"/>
          <w:divBdr>
            <w:top w:val="none" w:sz="0" w:space="0" w:color="auto"/>
            <w:left w:val="none" w:sz="0" w:space="0" w:color="auto"/>
            <w:bottom w:val="none" w:sz="0" w:space="0" w:color="auto"/>
            <w:right w:val="none" w:sz="0" w:space="0" w:color="auto"/>
          </w:divBdr>
        </w:div>
        <w:div w:id="943147058">
          <w:marLeft w:val="403"/>
          <w:marRight w:val="0"/>
          <w:marTop w:val="77"/>
          <w:marBottom w:val="0"/>
          <w:divBdr>
            <w:top w:val="none" w:sz="0" w:space="0" w:color="auto"/>
            <w:left w:val="none" w:sz="0" w:space="0" w:color="auto"/>
            <w:bottom w:val="none" w:sz="0" w:space="0" w:color="auto"/>
            <w:right w:val="none" w:sz="0" w:space="0" w:color="auto"/>
          </w:divBdr>
        </w:div>
        <w:div w:id="1149441575">
          <w:marLeft w:val="403"/>
          <w:marRight w:val="0"/>
          <w:marTop w:val="77"/>
          <w:marBottom w:val="0"/>
          <w:divBdr>
            <w:top w:val="none" w:sz="0" w:space="0" w:color="auto"/>
            <w:left w:val="none" w:sz="0" w:space="0" w:color="auto"/>
            <w:bottom w:val="none" w:sz="0" w:space="0" w:color="auto"/>
            <w:right w:val="none" w:sz="0" w:space="0" w:color="auto"/>
          </w:divBdr>
        </w:div>
        <w:div w:id="1769038063">
          <w:marLeft w:val="403"/>
          <w:marRight w:val="0"/>
          <w:marTop w:val="77"/>
          <w:marBottom w:val="0"/>
          <w:divBdr>
            <w:top w:val="none" w:sz="0" w:space="0" w:color="auto"/>
            <w:left w:val="none" w:sz="0" w:space="0" w:color="auto"/>
            <w:bottom w:val="none" w:sz="0" w:space="0" w:color="auto"/>
            <w:right w:val="none" w:sz="0" w:space="0" w:color="auto"/>
          </w:divBdr>
        </w:div>
        <w:div w:id="1772508765">
          <w:marLeft w:val="403"/>
          <w:marRight w:val="0"/>
          <w:marTop w:val="77"/>
          <w:marBottom w:val="0"/>
          <w:divBdr>
            <w:top w:val="none" w:sz="0" w:space="0" w:color="auto"/>
            <w:left w:val="none" w:sz="0" w:space="0" w:color="auto"/>
            <w:bottom w:val="none" w:sz="0" w:space="0" w:color="auto"/>
            <w:right w:val="none" w:sz="0" w:space="0" w:color="auto"/>
          </w:divBdr>
        </w:div>
        <w:div w:id="1788039946">
          <w:marLeft w:val="792"/>
          <w:marRight w:val="0"/>
          <w:marTop w:val="58"/>
          <w:marBottom w:val="0"/>
          <w:divBdr>
            <w:top w:val="none" w:sz="0" w:space="0" w:color="auto"/>
            <w:left w:val="none" w:sz="0" w:space="0" w:color="auto"/>
            <w:bottom w:val="none" w:sz="0" w:space="0" w:color="auto"/>
            <w:right w:val="none" w:sz="0" w:space="0" w:color="auto"/>
          </w:divBdr>
        </w:div>
        <w:div w:id="1875268647">
          <w:marLeft w:val="403"/>
          <w:marRight w:val="0"/>
          <w:marTop w:val="77"/>
          <w:marBottom w:val="0"/>
          <w:divBdr>
            <w:top w:val="none" w:sz="0" w:space="0" w:color="auto"/>
            <w:left w:val="none" w:sz="0" w:space="0" w:color="auto"/>
            <w:bottom w:val="none" w:sz="0" w:space="0" w:color="auto"/>
            <w:right w:val="none" w:sz="0" w:space="0" w:color="auto"/>
          </w:divBdr>
        </w:div>
      </w:divsChild>
    </w:div>
    <w:div w:id="1391925374">
      <w:bodyDiv w:val="1"/>
      <w:marLeft w:val="0"/>
      <w:marRight w:val="0"/>
      <w:marTop w:val="0"/>
      <w:marBottom w:val="0"/>
      <w:divBdr>
        <w:top w:val="none" w:sz="0" w:space="0" w:color="auto"/>
        <w:left w:val="none" w:sz="0" w:space="0" w:color="auto"/>
        <w:bottom w:val="none" w:sz="0" w:space="0" w:color="auto"/>
        <w:right w:val="none" w:sz="0" w:space="0" w:color="auto"/>
      </w:divBdr>
    </w:div>
    <w:div w:id="1489905087">
      <w:bodyDiv w:val="1"/>
      <w:marLeft w:val="0"/>
      <w:marRight w:val="0"/>
      <w:marTop w:val="0"/>
      <w:marBottom w:val="0"/>
      <w:divBdr>
        <w:top w:val="none" w:sz="0" w:space="0" w:color="auto"/>
        <w:left w:val="none" w:sz="0" w:space="0" w:color="auto"/>
        <w:bottom w:val="none" w:sz="0" w:space="0" w:color="auto"/>
        <w:right w:val="none" w:sz="0" w:space="0" w:color="auto"/>
      </w:divBdr>
    </w:div>
    <w:div w:id="1616055101">
      <w:bodyDiv w:val="1"/>
      <w:marLeft w:val="0"/>
      <w:marRight w:val="0"/>
      <w:marTop w:val="0"/>
      <w:marBottom w:val="0"/>
      <w:divBdr>
        <w:top w:val="none" w:sz="0" w:space="0" w:color="auto"/>
        <w:left w:val="none" w:sz="0" w:space="0" w:color="auto"/>
        <w:bottom w:val="none" w:sz="0" w:space="0" w:color="auto"/>
        <w:right w:val="none" w:sz="0" w:space="0" w:color="auto"/>
      </w:divBdr>
    </w:div>
    <w:div w:id="1632975265">
      <w:bodyDiv w:val="1"/>
      <w:marLeft w:val="0"/>
      <w:marRight w:val="0"/>
      <w:marTop w:val="0"/>
      <w:marBottom w:val="0"/>
      <w:divBdr>
        <w:top w:val="none" w:sz="0" w:space="0" w:color="auto"/>
        <w:left w:val="none" w:sz="0" w:space="0" w:color="auto"/>
        <w:bottom w:val="none" w:sz="0" w:space="0" w:color="auto"/>
        <w:right w:val="none" w:sz="0" w:space="0" w:color="auto"/>
      </w:divBdr>
    </w:div>
    <w:div w:id="1695692074">
      <w:bodyDiv w:val="1"/>
      <w:marLeft w:val="0"/>
      <w:marRight w:val="0"/>
      <w:marTop w:val="0"/>
      <w:marBottom w:val="0"/>
      <w:divBdr>
        <w:top w:val="none" w:sz="0" w:space="0" w:color="auto"/>
        <w:left w:val="none" w:sz="0" w:space="0" w:color="auto"/>
        <w:bottom w:val="none" w:sz="0" w:space="0" w:color="auto"/>
        <w:right w:val="none" w:sz="0" w:space="0" w:color="auto"/>
      </w:divBdr>
    </w:div>
    <w:div w:id="1709647321">
      <w:bodyDiv w:val="1"/>
      <w:marLeft w:val="0"/>
      <w:marRight w:val="0"/>
      <w:marTop w:val="0"/>
      <w:marBottom w:val="0"/>
      <w:divBdr>
        <w:top w:val="none" w:sz="0" w:space="0" w:color="auto"/>
        <w:left w:val="none" w:sz="0" w:space="0" w:color="auto"/>
        <w:bottom w:val="none" w:sz="0" w:space="0" w:color="auto"/>
        <w:right w:val="none" w:sz="0" w:space="0" w:color="auto"/>
      </w:divBdr>
    </w:div>
    <w:div w:id="1906456207">
      <w:bodyDiv w:val="1"/>
      <w:marLeft w:val="0"/>
      <w:marRight w:val="0"/>
      <w:marTop w:val="0"/>
      <w:marBottom w:val="0"/>
      <w:divBdr>
        <w:top w:val="none" w:sz="0" w:space="0" w:color="auto"/>
        <w:left w:val="none" w:sz="0" w:space="0" w:color="auto"/>
        <w:bottom w:val="none" w:sz="0" w:space="0" w:color="auto"/>
        <w:right w:val="none" w:sz="0" w:space="0" w:color="auto"/>
      </w:divBdr>
    </w:div>
    <w:div w:id="1998679546">
      <w:bodyDiv w:val="1"/>
      <w:marLeft w:val="0"/>
      <w:marRight w:val="0"/>
      <w:marTop w:val="0"/>
      <w:marBottom w:val="0"/>
      <w:divBdr>
        <w:top w:val="none" w:sz="0" w:space="0" w:color="auto"/>
        <w:left w:val="none" w:sz="0" w:space="0" w:color="auto"/>
        <w:bottom w:val="none" w:sz="0" w:space="0" w:color="auto"/>
        <w:right w:val="none" w:sz="0" w:space="0" w:color="auto"/>
      </w:divBdr>
    </w:div>
    <w:div w:id="2045788821">
      <w:bodyDiv w:val="1"/>
      <w:marLeft w:val="0"/>
      <w:marRight w:val="0"/>
      <w:marTop w:val="0"/>
      <w:marBottom w:val="0"/>
      <w:divBdr>
        <w:top w:val="none" w:sz="0" w:space="0" w:color="auto"/>
        <w:left w:val="none" w:sz="0" w:space="0" w:color="auto"/>
        <w:bottom w:val="none" w:sz="0" w:space="0" w:color="auto"/>
        <w:right w:val="none" w:sz="0" w:space="0" w:color="auto"/>
      </w:divBdr>
    </w:div>
    <w:div w:id="2124568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enner\AppData\Local\Temp\wz650f\TF_Template_Word_Windows_2016.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CAFC28C9EC247F5AE554E0EF0509E85"/>
        <w:category>
          <w:name w:val="General"/>
          <w:gallery w:val="placeholder"/>
        </w:category>
        <w:types>
          <w:type w:val="bbPlcHdr"/>
        </w:types>
        <w:behaviors>
          <w:behavior w:val="content"/>
        </w:behaviors>
        <w:guid w:val="{6B4A86E5-4153-45FA-94E6-EA8FC44BE642}"/>
      </w:docPartPr>
      <w:docPartBody>
        <w:p w:rsidR="00F60CE6" w:rsidRDefault="0080209F" w:rsidP="0080209F">
          <w:pPr>
            <w:pStyle w:val="1CAFC28C9EC247F5AE554E0EF0509E85"/>
          </w:pPr>
          <w:r w:rsidRPr="006D760B">
            <w:rPr>
              <w:rStyle w:val="Placehold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 w:name="Yu Mincho">
    <w:altName w:val="游明朝"/>
    <w:panose1 w:val="00000000000000000000"/>
    <w:charset w:val="8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0C19"/>
    <w:rsid w:val="00016B5A"/>
    <w:rsid w:val="00031878"/>
    <w:rsid w:val="0005367C"/>
    <w:rsid w:val="00062C83"/>
    <w:rsid w:val="00073157"/>
    <w:rsid w:val="0008660D"/>
    <w:rsid w:val="000B1241"/>
    <w:rsid w:val="000E63AC"/>
    <w:rsid w:val="000F34CF"/>
    <w:rsid w:val="000F573E"/>
    <w:rsid w:val="001118F6"/>
    <w:rsid w:val="00116174"/>
    <w:rsid w:val="00134AA6"/>
    <w:rsid w:val="001546B5"/>
    <w:rsid w:val="001621F5"/>
    <w:rsid w:val="0019401D"/>
    <w:rsid w:val="001A606D"/>
    <w:rsid w:val="001B7190"/>
    <w:rsid w:val="001B726D"/>
    <w:rsid w:val="001C580B"/>
    <w:rsid w:val="00204D24"/>
    <w:rsid w:val="0026592A"/>
    <w:rsid w:val="00282329"/>
    <w:rsid w:val="002A02DF"/>
    <w:rsid w:val="002A5026"/>
    <w:rsid w:val="002A5B6F"/>
    <w:rsid w:val="002A7737"/>
    <w:rsid w:val="002C0264"/>
    <w:rsid w:val="002C689E"/>
    <w:rsid w:val="002D3FE8"/>
    <w:rsid w:val="002E7202"/>
    <w:rsid w:val="002F0D39"/>
    <w:rsid w:val="002F1D52"/>
    <w:rsid w:val="00303BD3"/>
    <w:rsid w:val="003145C5"/>
    <w:rsid w:val="003330A6"/>
    <w:rsid w:val="0033613F"/>
    <w:rsid w:val="003452DC"/>
    <w:rsid w:val="00346861"/>
    <w:rsid w:val="00347B85"/>
    <w:rsid w:val="00365D7A"/>
    <w:rsid w:val="003917A5"/>
    <w:rsid w:val="003A3073"/>
    <w:rsid w:val="003B4D3E"/>
    <w:rsid w:val="003D19EB"/>
    <w:rsid w:val="003D55F5"/>
    <w:rsid w:val="003E0C45"/>
    <w:rsid w:val="003E1424"/>
    <w:rsid w:val="003E6AAA"/>
    <w:rsid w:val="0040290B"/>
    <w:rsid w:val="00455125"/>
    <w:rsid w:val="00457946"/>
    <w:rsid w:val="004668F1"/>
    <w:rsid w:val="00476059"/>
    <w:rsid w:val="004812C7"/>
    <w:rsid w:val="00482C95"/>
    <w:rsid w:val="004A6248"/>
    <w:rsid w:val="004C43E6"/>
    <w:rsid w:val="004C4E26"/>
    <w:rsid w:val="004C64D6"/>
    <w:rsid w:val="004D3639"/>
    <w:rsid w:val="004F1206"/>
    <w:rsid w:val="004F57E0"/>
    <w:rsid w:val="00515D1B"/>
    <w:rsid w:val="00540B58"/>
    <w:rsid w:val="00540D5D"/>
    <w:rsid w:val="0054534C"/>
    <w:rsid w:val="00546741"/>
    <w:rsid w:val="00547CE2"/>
    <w:rsid w:val="00556EFE"/>
    <w:rsid w:val="00573EEE"/>
    <w:rsid w:val="00574FF3"/>
    <w:rsid w:val="0059486C"/>
    <w:rsid w:val="005B4AED"/>
    <w:rsid w:val="005B77A5"/>
    <w:rsid w:val="005C103C"/>
    <w:rsid w:val="005C20A2"/>
    <w:rsid w:val="00613F2B"/>
    <w:rsid w:val="00623614"/>
    <w:rsid w:val="006359CF"/>
    <w:rsid w:val="006368AF"/>
    <w:rsid w:val="00654E8D"/>
    <w:rsid w:val="00662FF5"/>
    <w:rsid w:val="00675782"/>
    <w:rsid w:val="00684501"/>
    <w:rsid w:val="00687E13"/>
    <w:rsid w:val="006B4A4E"/>
    <w:rsid w:val="006C1205"/>
    <w:rsid w:val="006D130E"/>
    <w:rsid w:val="006E1185"/>
    <w:rsid w:val="006E2F8D"/>
    <w:rsid w:val="00724D59"/>
    <w:rsid w:val="00771766"/>
    <w:rsid w:val="0078299E"/>
    <w:rsid w:val="00784412"/>
    <w:rsid w:val="007877F0"/>
    <w:rsid w:val="00792699"/>
    <w:rsid w:val="007935D5"/>
    <w:rsid w:val="007B0E8A"/>
    <w:rsid w:val="007D4D3D"/>
    <w:rsid w:val="007F4584"/>
    <w:rsid w:val="0080209F"/>
    <w:rsid w:val="00814DDE"/>
    <w:rsid w:val="00840A27"/>
    <w:rsid w:val="00842959"/>
    <w:rsid w:val="008773E5"/>
    <w:rsid w:val="00882390"/>
    <w:rsid w:val="008C2FEF"/>
    <w:rsid w:val="008F17DD"/>
    <w:rsid w:val="008F43CF"/>
    <w:rsid w:val="00912294"/>
    <w:rsid w:val="009156E3"/>
    <w:rsid w:val="009215D4"/>
    <w:rsid w:val="00934222"/>
    <w:rsid w:val="0096058F"/>
    <w:rsid w:val="0096348E"/>
    <w:rsid w:val="00994507"/>
    <w:rsid w:val="009A1432"/>
    <w:rsid w:val="009A5C94"/>
    <w:rsid w:val="009C3078"/>
    <w:rsid w:val="009C6780"/>
    <w:rsid w:val="009D063C"/>
    <w:rsid w:val="00A15262"/>
    <w:rsid w:val="00A2529D"/>
    <w:rsid w:val="00A31BD8"/>
    <w:rsid w:val="00A354D9"/>
    <w:rsid w:val="00A44879"/>
    <w:rsid w:val="00A44AB7"/>
    <w:rsid w:val="00A51AE3"/>
    <w:rsid w:val="00A5547F"/>
    <w:rsid w:val="00A679F0"/>
    <w:rsid w:val="00A86881"/>
    <w:rsid w:val="00AB5D6B"/>
    <w:rsid w:val="00AC7EAE"/>
    <w:rsid w:val="00AD6D4C"/>
    <w:rsid w:val="00AE6C92"/>
    <w:rsid w:val="00B05B01"/>
    <w:rsid w:val="00B05C53"/>
    <w:rsid w:val="00B1754B"/>
    <w:rsid w:val="00B178D8"/>
    <w:rsid w:val="00B33DE2"/>
    <w:rsid w:val="00B34CED"/>
    <w:rsid w:val="00B35C54"/>
    <w:rsid w:val="00B52F93"/>
    <w:rsid w:val="00B56469"/>
    <w:rsid w:val="00B6496D"/>
    <w:rsid w:val="00B705BE"/>
    <w:rsid w:val="00B713B1"/>
    <w:rsid w:val="00B71D6F"/>
    <w:rsid w:val="00B8473F"/>
    <w:rsid w:val="00B868DD"/>
    <w:rsid w:val="00BB02A1"/>
    <w:rsid w:val="00BC2F09"/>
    <w:rsid w:val="00BC740D"/>
    <w:rsid w:val="00BD31FC"/>
    <w:rsid w:val="00BD3EEC"/>
    <w:rsid w:val="00BF4934"/>
    <w:rsid w:val="00C15CA2"/>
    <w:rsid w:val="00C16561"/>
    <w:rsid w:val="00C35966"/>
    <w:rsid w:val="00C362CE"/>
    <w:rsid w:val="00C809F0"/>
    <w:rsid w:val="00C83C11"/>
    <w:rsid w:val="00CC1419"/>
    <w:rsid w:val="00CC2A4A"/>
    <w:rsid w:val="00CE6EDB"/>
    <w:rsid w:val="00CF267B"/>
    <w:rsid w:val="00D062AA"/>
    <w:rsid w:val="00D1716B"/>
    <w:rsid w:val="00D22B4E"/>
    <w:rsid w:val="00D27B03"/>
    <w:rsid w:val="00D4236E"/>
    <w:rsid w:val="00D471CE"/>
    <w:rsid w:val="00D5317F"/>
    <w:rsid w:val="00D56558"/>
    <w:rsid w:val="00D655D1"/>
    <w:rsid w:val="00DB4545"/>
    <w:rsid w:val="00DB6637"/>
    <w:rsid w:val="00DE3967"/>
    <w:rsid w:val="00E01570"/>
    <w:rsid w:val="00E04060"/>
    <w:rsid w:val="00E05CF8"/>
    <w:rsid w:val="00E162FF"/>
    <w:rsid w:val="00E170DD"/>
    <w:rsid w:val="00E275C5"/>
    <w:rsid w:val="00E31250"/>
    <w:rsid w:val="00E32D43"/>
    <w:rsid w:val="00E37D44"/>
    <w:rsid w:val="00E45A9E"/>
    <w:rsid w:val="00E5567C"/>
    <w:rsid w:val="00E77D0F"/>
    <w:rsid w:val="00E85C03"/>
    <w:rsid w:val="00EA5644"/>
    <w:rsid w:val="00EB2541"/>
    <w:rsid w:val="00EC1D1E"/>
    <w:rsid w:val="00EC3742"/>
    <w:rsid w:val="00ED1244"/>
    <w:rsid w:val="00ED5E91"/>
    <w:rsid w:val="00EE41F2"/>
    <w:rsid w:val="00EF1550"/>
    <w:rsid w:val="00EF4094"/>
    <w:rsid w:val="00F0709B"/>
    <w:rsid w:val="00F200AF"/>
    <w:rsid w:val="00F27DA2"/>
    <w:rsid w:val="00F3175F"/>
    <w:rsid w:val="00F3184B"/>
    <w:rsid w:val="00F60CE6"/>
    <w:rsid w:val="00FA175E"/>
    <w:rsid w:val="00FC6A4A"/>
    <w:rsid w:val="00FE1A30"/>
    <w:rsid w:val="00FF0C19"/>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rsid w:val="0080209F"/>
    <w:rPr>
      <w:color w:val="808080"/>
    </w:rPr>
  </w:style>
  <w:style w:type="paragraph" w:customStyle="1" w:styleId="155FC08404E24E79BF400CF4F4A77805">
    <w:name w:val="155FC08404E24E79BF400CF4F4A77805"/>
  </w:style>
  <w:style w:type="paragraph" w:customStyle="1" w:styleId="6337AD095E324011BCB0027BCCC6B16B">
    <w:name w:val="6337AD095E324011BCB0027BCCC6B16B"/>
    <w:rsid w:val="004C43E6"/>
  </w:style>
  <w:style w:type="paragraph" w:customStyle="1" w:styleId="E282EE784F814298951E7F2F2EBA8D4C">
    <w:name w:val="E282EE784F814298951E7F2F2EBA8D4C"/>
  </w:style>
  <w:style w:type="paragraph" w:customStyle="1" w:styleId="A675D62075A6413BB0D77733B4AB06EA">
    <w:name w:val="A675D62075A6413BB0D77733B4AB06EA"/>
  </w:style>
  <w:style w:type="paragraph" w:customStyle="1" w:styleId="04AB27F3A87F4EE1876A6BA2FFB6F197">
    <w:name w:val="04AB27F3A87F4EE1876A6BA2FFB6F197"/>
  </w:style>
  <w:style w:type="paragraph" w:customStyle="1" w:styleId="79759020A09848D994BC894662083D91">
    <w:name w:val="79759020A09848D994BC894662083D91"/>
  </w:style>
  <w:style w:type="paragraph" w:customStyle="1" w:styleId="B7B6FF527B964C89BD1F6BE38AA30D04">
    <w:name w:val="B7B6FF527B964C89BD1F6BE38AA30D04"/>
  </w:style>
  <w:style w:type="paragraph" w:customStyle="1" w:styleId="488BE4D3CC9A472787C3FECB25CDB8C8">
    <w:name w:val="488BE4D3CC9A472787C3FECB25CDB8C8"/>
  </w:style>
  <w:style w:type="paragraph" w:customStyle="1" w:styleId="7F80D6D57AB84CF6A075C569F97ADE0E">
    <w:name w:val="7F80D6D57AB84CF6A075C569F97ADE0E"/>
  </w:style>
  <w:style w:type="paragraph" w:customStyle="1" w:styleId="04F4705E700945FCBBEA1A03803F254F">
    <w:name w:val="04F4705E700945FCBBEA1A03803F254F"/>
  </w:style>
  <w:style w:type="paragraph" w:customStyle="1" w:styleId="53B9F4A4BDAC46E7AE8F33B9747A7CA0">
    <w:name w:val="53B9F4A4BDAC46E7AE8F33B9747A7CA0"/>
  </w:style>
  <w:style w:type="paragraph" w:customStyle="1" w:styleId="0AEBA5E577214F62B7C65D98E142A3AF">
    <w:name w:val="0AEBA5E577214F62B7C65D98E142A3AF"/>
  </w:style>
  <w:style w:type="paragraph" w:customStyle="1" w:styleId="019D11332E2D49258994020D07954CB7">
    <w:name w:val="019D11332E2D49258994020D07954CB7"/>
  </w:style>
  <w:style w:type="paragraph" w:customStyle="1" w:styleId="1470146557CC48E88B2DE5C0F0549D99">
    <w:name w:val="1470146557CC48E88B2DE5C0F0549D99"/>
  </w:style>
  <w:style w:type="paragraph" w:customStyle="1" w:styleId="20AB31E195E24208A4F95B3DE2F43868">
    <w:name w:val="20AB31E195E24208A4F95B3DE2F43868"/>
  </w:style>
  <w:style w:type="paragraph" w:customStyle="1" w:styleId="AE17A013D7AA4587BC60BAA42F99D69A">
    <w:name w:val="AE17A013D7AA4587BC60BAA42F99D69A"/>
  </w:style>
  <w:style w:type="paragraph" w:customStyle="1" w:styleId="809C578773EF4562B03132D26078172F">
    <w:name w:val="809C578773EF4562B03132D26078172F"/>
  </w:style>
  <w:style w:type="paragraph" w:customStyle="1" w:styleId="C776D7024A5544C09C8D37A02BF3969B">
    <w:name w:val="C776D7024A5544C09C8D37A02BF3969B"/>
  </w:style>
  <w:style w:type="paragraph" w:customStyle="1" w:styleId="1718DC93A3464241A2941454C1FBAC6F">
    <w:name w:val="1718DC93A3464241A2941454C1FBAC6F"/>
  </w:style>
  <w:style w:type="paragraph" w:customStyle="1" w:styleId="5683B03E52E54C21B39FD9253E9D86F8">
    <w:name w:val="5683B03E52E54C21B39FD9253E9D86F8"/>
  </w:style>
  <w:style w:type="paragraph" w:customStyle="1" w:styleId="8EA490BB8A0040E5A4A2ACEAC6BE746E">
    <w:name w:val="8EA490BB8A0040E5A4A2ACEAC6BE746E"/>
  </w:style>
  <w:style w:type="paragraph" w:customStyle="1" w:styleId="A4206015E08944FFAB985EF1A50EC5BA">
    <w:name w:val="A4206015E08944FFAB985EF1A50EC5BA"/>
  </w:style>
  <w:style w:type="paragraph" w:customStyle="1" w:styleId="14401C21B2DF4A9395F6ADAF1A3ED91A">
    <w:name w:val="14401C21B2DF4A9395F6ADAF1A3ED91A"/>
  </w:style>
  <w:style w:type="paragraph" w:customStyle="1" w:styleId="B5CF351B42C1449C8A62A5B12FEE0016">
    <w:name w:val="B5CF351B42C1449C8A62A5B12FEE0016"/>
  </w:style>
  <w:style w:type="paragraph" w:customStyle="1" w:styleId="E84A86B37194481997735C5049533A98">
    <w:name w:val="E84A86B37194481997735C5049533A98"/>
  </w:style>
  <w:style w:type="paragraph" w:customStyle="1" w:styleId="125121BC6E5D4166B5AA8638F5A01C04">
    <w:name w:val="125121BC6E5D4166B5AA8638F5A01C04"/>
  </w:style>
  <w:style w:type="paragraph" w:customStyle="1" w:styleId="3F5A26E937DF447A9A8E3C411798A0CA">
    <w:name w:val="3F5A26E937DF447A9A8E3C411798A0CA"/>
  </w:style>
  <w:style w:type="paragraph" w:customStyle="1" w:styleId="30496667F7A84F2C969DD63C19F542EA">
    <w:name w:val="30496667F7A84F2C969DD63C19F542EA"/>
  </w:style>
  <w:style w:type="paragraph" w:customStyle="1" w:styleId="420588D05B114225B21DAFEF09A34F48">
    <w:name w:val="420588D05B114225B21DAFEF09A34F48"/>
  </w:style>
  <w:style w:type="paragraph" w:customStyle="1" w:styleId="4FF8B8BD537B4548A8A8DBA37D06432E">
    <w:name w:val="4FF8B8BD537B4548A8A8DBA37D06432E"/>
  </w:style>
  <w:style w:type="paragraph" w:customStyle="1" w:styleId="BC56C96B29174D82866391EB7851A34F">
    <w:name w:val="BC56C96B29174D82866391EB7851A34F"/>
  </w:style>
  <w:style w:type="paragraph" w:customStyle="1" w:styleId="AD17C813E4E143AB974537B1510AD54B">
    <w:name w:val="AD17C813E4E143AB974537B1510AD54B"/>
  </w:style>
  <w:style w:type="paragraph" w:customStyle="1" w:styleId="A682CCB5BF634987946F86245E09C271">
    <w:name w:val="A682CCB5BF634987946F86245E09C271"/>
  </w:style>
  <w:style w:type="paragraph" w:customStyle="1" w:styleId="D6244892DAE04494A46E12E3FF4BDBD6">
    <w:name w:val="D6244892DAE04494A46E12E3FF4BDBD6"/>
  </w:style>
  <w:style w:type="paragraph" w:customStyle="1" w:styleId="DD8040BE1F7F49A38FF2784C166096A6">
    <w:name w:val="DD8040BE1F7F49A38FF2784C166096A6"/>
  </w:style>
  <w:style w:type="paragraph" w:customStyle="1" w:styleId="B1C7DB9B28E9417A80429DE7F37A6AAA">
    <w:name w:val="B1C7DB9B28E9417A80429DE7F37A6AAA"/>
  </w:style>
  <w:style w:type="paragraph" w:customStyle="1" w:styleId="BED46E24DC594F868AEDC85F1992034B">
    <w:name w:val="BED46E24DC594F868AEDC85F1992034B"/>
  </w:style>
  <w:style w:type="paragraph" w:customStyle="1" w:styleId="8FE798A6E31044C484ECEFF1FF399D19">
    <w:name w:val="8FE798A6E31044C484ECEFF1FF399D19"/>
  </w:style>
  <w:style w:type="paragraph" w:customStyle="1" w:styleId="F62CB24AF9224C79912AA6266682357B">
    <w:name w:val="F62CB24AF9224C79912AA6266682357B"/>
  </w:style>
  <w:style w:type="paragraph" w:customStyle="1" w:styleId="A9A1741D7D184D33AE34C3AC799C9B62">
    <w:name w:val="A9A1741D7D184D33AE34C3AC799C9B62"/>
  </w:style>
  <w:style w:type="paragraph" w:customStyle="1" w:styleId="6CA1A425367D4C8CA444AC70B6BB7210">
    <w:name w:val="6CA1A425367D4C8CA444AC70B6BB7210"/>
  </w:style>
  <w:style w:type="paragraph" w:customStyle="1" w:styleId="4CF7059551EE412384508770C638AFF2">
    <w:name w:val="4CF7059551EE412384508770C638AFF2"/>
  </w:style>
  <w:style w:type="paragraph" w:customStyle="1" w:styleId="1760FCA2FB70476E92708D18699C2407">
    <w:name w:val="1760FCA2FB70476E92708D18699C2407"/>
  </w:style>
  <w:style w:type="paragraph" w:customStyle="1" w:styleId="F58C9E1DAAB74A3B83B05352FB686DCB">
    <w:name w:val="F58C9E1DAAB74A3B83B05352FB686DCB"/>
  </w:style>
  <w:style w:type="paragraph" w:customStyle="1" w:styleId="A66C36F9BE494B308FBB49ED48304B93">
    <w:name w:val="A66C36F9BE494B308FBB49ED48304B93"/>
  </w:style>
  <w:style w:type="paragraph" w:customStyle="1" w:styleId="51DE356EBE3B42E383E272CFF4DB5B78">
    <w:name w:val="51DE356EBE3B42E383E272CFF4DB5B78"/>
  </w:style>
  <w:style w:type="paragraph" w:customStyle="1" w:styleId="8155C0F8BD6A4E3D80CF2465EADBC495">
    <w:name w:val="8155C0F8BD6A4E3D80CF2465EADBC495"/>
  </w:style>
  <w:style w:type="paragraph" w:customStyle="1" w:styleId="3D01586F881141E291E472DC55FA0F06">
    <w:name w:val="3D01586F881141E291E472DC55FA0F06"/>
  </w:style>
  <w:style w:type="paragraph" w:customStyle="1" w:styleId="FC2397F124D4495AA14DC808229F965C">
    <w:name w:val="FC2397F124D4495AA14DC808229F965C"/>
  </w:style>
  <w:style w:type="paragraph" w:customStyle="1" w:styleId="0074666867CC41E7BC2138FDA69E8691">
    <w:name w:val="0074666867CC41E7BC2138FDA69E8691"/>
  </w:style>
  <w:style w:type="paragraph" w:customStyle="1" w:styleId="09EBD7EBC5484060ABBDB1F74D9B6689">
    <w:name w:val="09EBD7EBC5484060ABBDB1F74D9B6689"/>
  </w:style>
  <w:style w:type="paragraph" w:customStyle="1" w:styleId="97FCCF18A0F34327B950DDFA02C3EA44">
    <w:name w:val="97FCCF18A0F34327B950DDFA02C3EA44"/>
  </w:style>
  <w:style w:type="paragraph" w:customStyle="1" w:styleId="05D4710588844DD293FD0A1232030C25">
    <w:name w:val="05D4710588844DD293FD0A1232030C25"/>
  </w:style>
  <w:style w:type="paragraph" w:customStyle="1" w:styleId="7C84B9A967E74176AA5A2510700D6BCC">
    <w:name w:val="7C84B9A967E74176AA5A2510700D6BCC"/>
  </w:style>
  <w:style w:type="paragraph" w:customStyle="1" w:styleId="519EEC731AAE4190B1F29A2A88C3B4F9">
    <w:name w:val="519EEC731AAE4190B1F29A2A88C3B4F9"/>
  </w:style>
  <w:style w:type="paragraph" w:customStyle="1" w:styleId="BB262F683FE14684BF4E019F4D10833B">
    <w:name w:val="BB262F683FE14684BF4E019F4D10833B"/>
  </w:style>
  <w:style w:type="paragraph" w:customStyle="1" w:styleId="8D1382935476457DA21C29CB34C77491">
    <w:name w:val="8D1382935476457DA21C29CB34C77491"/>
  </w:style>
  <w:style w:type="paragraph" w:customStyle="1" w:styleId="DD682D4AE4A94623A360EB1A77AC5080">
    <w:name w:val="DD682D4AE4A94623A360EB1A77AC5080"/>
  </w:style>
  <w:style w:type="paragraph" w:customStyle="1" w:styleId="319FC01B08D6473DA6B5BFA5481B9BAD">
    <w:name w:val="319FC01B08D6473DA6B5BFA5481B9BAD"/>
  </w:style>
  <w:style w:type="paragraph" w:customStyle="1" w:styleId="B4223D8249D44F78896E2D4077C8D68B">
    <w:name w:val="B4223D8249D44F78896E2D4077C8D68B"/>
  </w:style>
  <w:style w:type="paragraph" w:customStyle="1" w:styleId="780B745966744456AC5DB9E78461A355">
    <w:name w:val="780B745966744456AC5DB9E78461A355"/>
  </w:style>
  <w:style w:type="paragraph" w:customStyle="1" w:styleId="05E834D3AB25462E87D49F0FC2C04F4E">
    <w:name w:val="05E834D3AB25462E87D49F0FC2C04F4E"/>
  </w:style>
  <w:style w:type="paragraph" w:customStyle="1" w:styleId="E940EE77983B4B799B82F28596F6C98D">
    <w:name w:val="E940EE77983B4B799B82F28596F6C98D"/>
  </w:style>
  <w:style w:type="paragraph" w:customStyle="1" w:styleId="5FDE19B2C2814B8DB2320F01CD7B2100">
    <w:name w:val="5FDE19B2C2814B8DB2320F01CD7B2100"/>
  </w:style>
  <w:style w:type="paragraph" w:customStyle="1" w:styleId="C20B2055F88F40F1BE6FB93EFE056E8F">
    <w:name w:val="C20B2055F88F40F1BE6FB93EFE056E8F"/>
  </w:style>
  <w:style w:type="paragraph" w:customStyle="1" w:styleId="C071993F738F45C68F3E29A2863A9128">
    <w:name w:val="C071993F738F45C68F3E29A2863A9128"/>
  </w:style>
  <w:style w:type="paragraph" w:customStyle="1" w:styleId="518C053A52854F25B897064C8C1EC16A">
    <w:name w:val="518C053A52854F25B897064C8C1EC16A"/>
  </w:style>
  <w:style w:type="paragraph" w:customStyle="1" w:styleId="4338143E604F4AAEB1A81A3221FA6446">
    <w:name w:val="4338143E604F4AAEB1A81A3221FA6446"/>
  </w:style>
  <w:style w:type="paragraph" w:customStyle="1" w:styleId="5073150A9FF744659038E80C6DFC168D">
    <w:name w:val="5073150A9FF744659038E80C6DFC168D"/>
  </w:style>
  <w:style w:type="paragraph" w:customStyle="1" w:styleId="D3FE783061664FEA845A8E6299E93D80">
    <w:name w:val="D3FE783061664FEA845A8E6299E93D80"/>
  </w:style>
  <w:style w:type="paragraph" w:customStyle="1" w:styleId="2EDDD5AF2D4E45D79267F085534CF071">
    <w:name w:val="2EDDD5AF2D4E45D79267F085534CF071"/>
  </w:style>
  <w:style w:type="paragraph" w:customStyle="1" w:styleId="1DEA779CD90347E893B8AA3171AE08CD">
    <w:name w:val="1DEA779CD90347E893B8AA3171AE08CD"/>
  </w:style>
  <w:style w:type="paragraph" w:customStyle="1" w:styleId="AAFA986FB2A2486C87E5A1C742A3ECE8">
    <w:name w:val="AAFA986FB2A2486C87E5A1C742A3ECE8"/>
  </w:style>
  <w:style w:type="paragraph" w:customStyle="1" w:styleId="9A33057B36E04723B3EEF4E337237675">
    <w:name w:val="9A33057B36E04723B3EEF4E337237675"/>
  </w:style>
  <w:style w:type="paragraph" w:customStyle="1" w:styleId="C702D205304F486BACCFCEC726592C0B">
    <w:name w:val="C702D205304F486BACCFCEC726592C0B"/>
  </w:style>
  <w:style w:type="paragraph" w:customStyle="1" w:styleId="93D56100A7494ABB845CC702981BB993">
    <w:name w:val="93D56100A7494ABB845CC702981BB993"/>
  </w:style>
  <w:style w:type="paragraph" w:customStyle="1" w:styleId="17834F5207834C6D9F4F78A9B6414FC9">
    <w:name w:val="17834F5207834C6D9F4F78A9B6414FC9"/>
  </w:style>
  <w:style w:type="paragraph" w:customStyle="1" w:styleId="923C36806DF641C9B6D9DBB302E10876">
    <w:name w:val="923C36806DF641C9B6D9DBB302E10876"/>
  </w:style>
  <w:style w:type="paragraph" w:customStyle="1" w:styleId="9726FB900C994D50960538A4E991F1C8">
    <w:name w:val="9726FB900C994D50960538A4E991F1C8"/>
  </w:style>
  <w:style w:type="paragraph" w:customStyle="1" w:styleId="B84881EBA6564D989CD26D207CD19FEB">
    <w:name w:val="B84881EBA6564D989CD26D207CD19FEB"/>
  </w:style>
  <w:style w:type="paragraph" w:customStyle="1" w:styleId="574EBEEF9A644D8C858B0AC244753621">
    <w:name w:val="574EBEEF9A644D8C858B0AC244753621"/>
  </w:style>
  <w:style w:type="paragraph" w:customStyle="1" w:styleId="5796D882A4494D03A580CE082A37DF3A">
    <w:name w:val="5796D882A4494D03A580CE082A37DF3A"/>
  </w:style>
  <w:style w:type="paragraph" w:customStyle="1" w:styleId="E40F95470BDC4C7190081E81860B1A05">
    <w:name w:val="E40F95470BDC4C7190081E81860B1A05"/>
  </w:style>
  <w:style w:type="paragraph" w:customStyle="1" w:styleId="6633D8213B8243CAB1C7D39EA22880CF">
    <w:name w:val="6633D8213B8243CAB1C7D39EA22880CF"/>
  </w:style>
  <w:style w:type="paragraph" w:customStyle="1" w:styleId="184736E73DF045AE8FE3FDBFFC3370AC">
    <w:name w:val="184736E73DF045AE8FE3FDBFFC3370AC"/>
  </w:style>
  <w:style w:type="paragraph" w:customStyle="1" w:styleId="6482798ECBA2403A9A65E7244FD39E12">
    <w:name w:val="6482798ECBA2403A9A65E7244FD39E12"/>
  </w:style>
  <w:style w:type="paragraph" w:customStyle="1" w:styleId="C7B310F330C24265AC4CE88C0D0955B1">
    <w:name w:val="C7B310F330C24265AC4CE88C0D0955B1"/>
  </w:style>
  <w:style w:type="paragraph" w:customStyle="1" w:styleId="9B236B4CAB70417BB4859791E78ACA41">
    <w:name w:val="9B236B4CAB70417BB4859791E78ACA41"/>
  </w:style>
  <w:style w:type="paragraph" w:customStyle="1" w:styleId="82A5E09AE81346F78EF0DFA74BAC559C">
    <w:name w:val="82A5E09AE81346F78EF0DFA74BAC559C"/>
  </w:style>
  <w:style w:type="paragraph" w:customStyle="1" w:styleId="2D599E6A48044E4082A164714289E82C">
    <w:name w:val="2D599E6A48044E4082A164714289E82C"/>
  </w:style>
  <w:style w:type="paragraph" w:customStyle="1" w:styleId="965BD9EB6F6B4EFAACFC87F1DB372459">
    <w:name w:val="965BD9EB6F6B4EFAACFC87F1DB372459"/>
  </w:style>
  <w:style w:type="paragraph" w:customStyle="1" w:styleId="537A8CFE493E4A56B12BB92323BB1274">
    <w:name w:val="537A8CFE493E4A56B12BB92323BB1274"/>
  </w:style>
  <w:style w:type="paragraph" w:customStyle="1" w:styleId="8E9258BAD23B49B79703F27AA6248EC3">
    <w:name w:val="8E9258BAD23B49B79703F27AA6248EC3"/>
  </w:style>
  <w:style w:type="paragraph" w:customStyle="1" w:styleId="9DC4DDA45987407DB56B25D1966DF716">
    <w:name w:val="9DC4DDA45987407DB56B25D1966DF716"/>
  </w:style>
  <w:style w:type="paragraph" w:customStyle="1" w:styleId="13A40E1BC96A456C9F7AE81E1FA76D03">
    <w:name w:val="13A40E1BC96A456C9F7AE81E1FA76D03"/>
  </w:style>
  <w:style w:type="paragraph" w:customStyle="1" w:styleId="65FFBCC54AF34F3084644A9C67B46337">
    <w:name w:val="65FFBCC54AF34F3084644A9C67B46337"/>
  </w:style>
  <w:style w:type="paragraph" w:customStyle="1" w:styleId="2AC3BCD40A3D49E1966BD0F6BDA613BD">
    <w:name w:val="2AC3BCD40A3D49E1966BD0F6BDA613BD"/>
  </w:style>
  <w:style w:type="paragraph" w:customStyle="1" w:styleId="A626BBA7C5B841569C6BC74A61BF6256">
    <w:name w:val="A626BBA7C5B841569C6BC74A61BF6256"/>
  </w:style>
  <w:style w:type="paragraph" w:customStyle="1" w:styleId="49951AD787844CFDBDF438409E9BB177">
    <w:name w:val="49951AD787844CFDBDF438409E9BB177"/>
  </w:style>
  <w:style w:type="paragraph" w:customStyle="1" w:styleId="D601EED176A840449E501889C1DFB68D">
    <w:name w:val="D601EED176A840449E501889C1DFB68D"/>
  </w:style>
  <w:style w:type="paragraph" w:customStyle="1" w:styleId="B81412AB3EDB4178B4AFCB64B4AEF58E">
    <w:name w:val="B81412AB3EDB4178B4AFCB64B4AEF58E"/>
  </w:style>
  <w:style w:type="paragraph" w:customStyle="1" w:styleId="FF8E05E40CB04E7BB6377ECCDC8A7FC7">
    <w:name w:val="FF8E05E40CB04E7BB6377ECCDC8A7FC7"/>
  </w:style>
  <w:style w:type="paragraph" w:customStyle="1" w:styleId="7227B66AA1A548089811E46EEC49606E">
    <w:name w:val="7227B66AA1A548089811E46EEC49606E"/>
  </w:style>
  <w:style w:type="paragraph" w:customStyle="1" w:styleId="A2DC4C5ABD5442398BD8EF747A52D861">
    <w:name w:val="A2DC4C5ABD5442398BD8EF747A52D861"/>
  </w:style>
  <w:style w:type="paragraph" w:customStyle="1" w:styleId="9E5EB328C45D43B6B0CB3B1EFF9EF265">
    <w:name w:val="9E5EB328C45D43B6B0CB3B1EFF9EF265"/>
  </w:style>
  <w:style w:type="paragraph" w:customStyle="1" w:styleId="7FC8D89B18B7453BA3C3A5A7922FE6F7">
    <w:name w:val="7FC8D89B18B7453BA3C3A5A7922FE6F7"/>
  </w:style>
  <w:style w:type="paragraph" w:customStyle="1" w:styleId="C0587251EA2641DD8DC1791B115A5B5F">
    <w:name w:val="C0587251EA2641DD8DC1791B115A5B5F"/>
  </w:style>
  <w:style w:type="paragraph" w:customStyle="1" w:styleId="1999DA5595534783916D884B859052BB">
    <w:name w:val="1999DA5595534783916D884B859052BB"/>
  </w:style>
  <w:style w:type="paragraph" w:customStyle="1" w:styleId="C19F8BD8C5024EFA812D3C7B2BE559FF">
    <w:name w:val="C19F8BD8C5024EFA812D3C7B2BE559FF"/>
  </w:style>
  <w:style w:type="paragraph" w:customStyle="1" w:styleId="3F776959B7594248BE25381B5AE8F82F">
    <w:name w:val="3F776959B7594248BE25381B5AE8F82F"/>
  </w:style>
  <w:style w:type="paragraph" w:customStyle="1" w:styleId="76D054FD3ABE4883A53992BCFC378FB1">
    <w:name w:val="76D054FD3ABE4883A53992BCFC378FB1"/>
  </w:style>
  <w:style w:type="paragraph" w:customStyle="1" w:styleId="3A0754CDCF6D42849FF04B0B2E75837E">
    <w:name w:val="3A0754CDCF6D42849FF04B0B2E75837E"/>
  </w:style>
  <w:style w:type="paragraph" w:customStyle="1" w:styleId="E9AA8A00963345C8BA77CBE082F83A6A">
    <w:name w:val="E9AA8A00963345C8BA77CBE082F83A6A"/>
  </w:style>
  <w:style w:type="paragraph" w:customStyle="1" w:styleId="29A101DECC8D48B994214BC34BCE73C7">
    <w:name w:val="29A101DECC8D48B994214BC34BCE73C7"/>
  </w:style>
  <w:style w:type="paragraph" w:customStyle="1" w:styleId="2C994F72309E46A699C702F755CACEB0">
    <w:name w:val="2C994F72309E46A699C702F755CACEB0"/>
  </w:style>
  <w:style w:type="paragraph" w:customStyle="1" w:styleId="7B157C7D604A4ECC97EA49DED26E02A1">
    <w:name w:val="7B157C7D604A4ECC97EA49DED26E02A1"/>
  </w:style>
  <w:style w:type="paragraph" w:customStyle="1" w:styleId="1D1728EC55DB4D0689912ACE22037FE2">
    <w:name w:val="1D1728EC55DB4D0689912ACE22037FE2"/>
  </w:style>
  <w:style w:type="paragraph" w:customStyle="1" w:styleId="CF1BE273C77D433E9369693877DAD132">
    <w:name w:val="CF1BE273C77D433E9369693877DAD132"/>
  </w:style>
  <w:style w:type="paragraph" w:customStyle="1" w:styleId="8937C99D574D45C8A24FFC60BAAF77C9">
    <w:name w:val="8937C99D574D45C8A24FFC60BAAF77C9"/>
  </w:style>
  <w:style w:type="paragraph" w:customStyle="1" w:styleId="5BEC743B24114A72810FCC1844AF4A87">
    <w:name w:val="5BEC743B24114A72810FCC1844AF4A87"/>
  </w:style>
  <w:style w:type="paragraph" w:customStyle="1" w:styleId="FC873C3BEC0C4450AB48CBF98ECAC53C">
    <w:name w:val="FC873C3BEC0C4450AB48CBF98ECAC53C"/>
  </w:style>
  <w:style w:type="paragraph" w:customStyle="1" w:styleId="C5287FA25E4A45D4AFC20F21C87B286B">
    <w:name w:val="C5287FA25E4A45D4AFC20F21C87B286B"/>
  </w:style>
  <w:style w:type="paragraph" w:customStyle="1" w:styleId="6D0AD3F78C6D4A07B4A48A76BC6056E0">
    <w:name w:val="6D0AD3F78C6D4A07B4A48A76BC6056E0"/>
  </w:style>
  <w:style w:type="paragraph" w:customStyle="1" w:styleId="BFE98269321D45D18745ECD48BED6ED5">
    <w:name w:val="BFE98269321D45D18745ECD48BED6ED5"/>
  </w:style>
  <w:style w:type="paragraph" w:customStyle="1" w:styleId="5FA35B8EC3FE4DE5B6C9CC15A856DEE3">
    <w:name w:val="5FA35B8EC3FE4DE5B6C9CC15A856DEE3"/>
  </w:style>
  <w:style w:type="paragraph" w:customStyle="1" w:styleId="0AD4AFA4BEE74EFEAAC96214A71DDF6D">
    <w:name w:val="0AD4AFA4BEE74EFEAAC96214A71DDF6D"/>
  </w:style>
  <w:style w:type="paragraph" w:customStyle="1" w:styleId="5BA067EDB527478F821F784F8BFE5360">
    <w:name w:val="5BA067EDB527478F821F784F8BFE5360"/>
  </w:style>
  <w:style w:type="paragraph" w:customStyle="1" w:styleId="E0AE3B43AF534C5A8F6D61B24CBABB7C">
    <w:name w:val="E0AE3B43AF534C5A8F6D61B24CBABB7C"/>
  </w:style>
  <w:style w:type="paragraph" w:customStyle="1" w:styleId="55491168A4934D14AB27D8C17ACEC522">
    <w:name w:val="55491168A4934D14AB27D8C17ACEC522"/>
  </w:style>
  <w:style w:type="paragraph" w:customStyle="1" w:styleId="18CEABBF4EC44EADBDE011FAFE4707EC">
    <w:name w:val="18CEABBF4EC44EADBDE011FAFE4707EC"/>
  </w:style>
  <w:style w:type="paragraph" w:customStyle="1" w:styleId="FB1507664BF34C49B8EDDDA7EA39DBA3">
    <w:name w:val="FB1507664BF34C49B8EDDDA7EA39DBA3"/>
  </w:style>
  <w:style w:type="paragraph" w:customStyle="1" w:styleId="F0ECF8CBE275497487C50715EB5226BF">
    <w:name w:val="F0ECF8CBE275497487C50715EB5226BF"/>
  </w:style>
  <w:style w:type="paragraph" w:customStyle="1" w:styleId="1690E89D6F524157827D614241510894">
    <w:name w:val="1690E89D6F524157827D614241510894"/>
  </w:style>
  <w:style w:type="paragraph" w:customStyle="1" w:styleId="99496EB1D2FA41B8AC6FDCEADCB4DDAD">
    <w:name w:val="99496EB1D2FA41B8AC6FDCEADCB4DDAD"/>
  </w:style>
  <w:style w:type="paragraph" w:customStyle="1" w:styleId="DE6ACE1AACAB44BC94715D31A0AB0644">
    <w:name w:val="DE6ACE1AACAB44BC94715D31A0AB0644"/>
  </w:style>
  <w:style w:type="paragraph" w:customStyle="1" w:styleId="61628980C01F4FA79773A9D8FDC82E1E">
    <w:name w:val="61628980C01F4FA79773A9D8FDC82E1E"/>
  </w:style>
  <w:style w:type="paragraph" w:customStyle="1" w:styleId="F360772942384AF3889B4F21FA936E31">
    <w:name w:val="F360772942384AF3889B4F21FA936E31"/>
  </w:style>
  <w:style w:type="paragraph" w:customStyle="1" w:styleId="0804162BE9014D6DBD7675EC43158BBE">
    <w:name w:val="0804162BE9014D6DBD7675EC43158BBE"/>
  </w:style>
  <w:style w:type="paragraph" w:customStyle="1" w:styleId="BA8DA59AF1FB4A67A33E696155C98F41">
    <w:name w:val="BA8DA59AF1FB4A67A33E696155C98F41"/>
    <w:rsid w:val="004F1206"/>
  </w:style>
  <w:style w:type="paragraph" w:customStyle="1" w:styleId="926756E06F77440CAE1ED7EC9270C10F">
    <w:name w:val="926756E06F77440CAE1ED7EC9270C10F"/>
  </w:style>
  <w:style w:type="paragraph" w:customStyle="1" w:styleId="335D5B12BC474D4AA05302E696A0CD77">
    <w:name w:val="335D5B12BC474D4AA05302E696A0CD77"/>
  </w:style>
  <w:style w:type="paragraph" w:customStyle="1" w:styleId="E15307BA550B4DC2BE933AC8DA6573AD">
    <w:name w:val="E15307BA550B4DC2BE933AC8DA6573AD"/>
  </w:style>
  <w:style w:type="paragraph" w:customStyle="1" w:styleId="B3BDCD86284D4662971F386907F87D3D">
    <w:name w:val="B3BDCD86284D4662971F386907F87D3D"/>
  </w:style>
  <w:style w:type="paragraph" w:customStyle="1" w:styleId="1CAFC28C9EC247F5AE554E0EF0509E85">
    <w:name w:val="1CAFC28C9EC247F5AE554E0EF0509E85"/>
    <w:rsid w:val="0080209F"/>
    <w:pPr>
      <w:spacing w:after="200" w:line="276" w:lineRule="auto"/>
    </w:pPr>
    <w:rPr>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4009F1F66C50C4998C32C51C1965A97" ma:contentTypeVersion="9" ma:contentTypeDescription="Ein neues Dokument erstellen." ma:contentTypeScope="" ma:versionID="e9e59837acccdbb7188db4c5b30e7e6e">
  <xsd:schema xmlns:xsd="http://www.w3.org/2001/XMLSchema" xmlns:xs="http://www.w3.org/2001/XMLSchema" xmlns:p="http://schemas.microsoft.com/office/2006/metadata/properties" xmlns:ns1="http://schemas.microsoft.com/sharepoint/v3" xmlns:ns2="2fcfb39e-fb67-481f-8b0d-0e756e8fc31e" xmlns:ns3="e8748061-88a1-4365-b87a-c92007073114" xmlns:ns4="eaaa4b58-8c29-49f4-a94e-711aafeacdf7" targetNamespace="http://schemas.microsoft.com/office/2006/metadata/properties" ma:root="true" ma:fieldsID="37cdd31acd0691227ec968aaa4c2be56" ns1:_="" ns2:_="" ns3:_="" ns4:_="">
    <xsd:import namespace="http://schemas.microsoft.com/sharepoint/v3"/>
    <xsd:import namespace="2fcfb39e-fb67-481f-8b0d-0e756e8fc31e"/>
    <xsd:import namespace="e8748061-88a1-4365-b87a-c92007073114"/>
    <xsd:import namespace="eaaa4b58-8c29-49f4-a94e-711aafeacdf7"/>
    <xsd:element name="properties">
      <xsd:complexType>
        <xsd:sequence>
          <xsd:element name="documentManagement">
            <xsd:complexType>
              <xsd:all>
                <xsd:element ref="ns2:SharedWithUsers" minOccurs="0"/>
                <xsd:element ref="ns3:SharedWithDetails" minOccurs="0"/>
                <xsd:element ref="ns1:PublishingStartDate" minOccurs="0"/>
                <xsd:element ref="ns1:PublishingExpirationDate"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0" nillable="true" ma:displayName="Geplantes Startdatum" ma:description="Geplantes Startdatum ist eine Websitespalte, die über das Feature zum Veröffentlichen erstellt wird. Es wird zur Angabe des Datums und der Uhrzeit verwendet, wann diese Seite Besuchern zum ersten Mal angezeigt wird." ma:internalName="PublishingStartDate">
      <xsd:simpleType>
        <xsd:restriction base="dms:Unknown"/>
      </xsd:simpleType>
    </xsd:element>
    <xsd:element name="PublishingExpirationDate" ma:index="11" nillable="true" ma:displayName="Geplantes Enddatum" ma:description="Geplantes Enddatum ist eine Websitespalte, die über das Feature zum Veröffentlichen erstellt wird. Es wird zur Angabe des Datums und der Uhrzeit verwendet, wann diese Seite Besuchern nicht mehr angezeigt wird."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fcfb39e-fb67-481f-8b0d-0e756e8fc31e"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e8748061-88a1-4365-b87a-c92007073114" elementFormDefault="qualified">
    <xsd:import namespace="http://schemas.microsoft.com/office/2006/documentManagement/types"/>
    <xsd:import namespace="http://schemas.microsoft.com/office/infopath/2007/PartnerControls"/>
    <xsd:element name="SharedWithDetails" ma:index="9" nillable="true" ma:displayName="Freigegeben für - Details"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aaa4b58-8c29-49f4-a94e-711aafeacdf7"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D78BF0-AADE-4A5A-931E-15FDFCDB18C9}">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66B796F3-613D-457A-8D7A-FA2D32868B02}">
  <ds:schemaRefs>
    <ds:schemaRef ds:uri="http://schemas.microsoft.com/sharepoint/v3/contenttype/forms"/>
  </ds:schemaRefs>
</ds:datastoreItem>
</file>

<file path=customXml/itemProps3.xml><?xml version="1.0" encoding="utf-8"?>
<ds:datastoreItem xmlns:ds="http://schemas.openxmlformats.org/officeDocument/2006/customXml" ds:itemID="{333193EA-408B-4729-A37F-AB46685DCE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fcfb39e-fb67-481f-8b0d-0e756e8fc31e"/>
    <ds:schemaRef ds:uri="e8748061-88a1-4365-b87a-c92007073114"/>
    <ds:schemaRef ds:uri="eaaa4b58-8c29-49f4-a94e-711aafeacdf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DE22B5D-0F23-4FE2-A88C-EF53D1B2C1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TF_Template_Word_Windows_2016</Template>
  <TotalTime>2</TotalTime>
  <Pages>10</Pages>
  <Words>6316</Words>
  <Characters>36006</Characters>
  <Application>Microsoft Office Word</Application>
  <DocSecurity>0</DocSecurity>
  <Lines>300</Lines>
  <Paragraphs>84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DTAILs</vt:lpstr>
      <vt:lpstr>DTAILs</vt:lpstr>
    </vt:vector>
  </TitlesOfParts>
  <Company/>
  <LinksUpToDate>false</LinksUpToDate>
  <CharactersWithSpaces>42238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DTAILs</dc:title>
  <dc:creator>Tobias Albrecht</dc:creator>
  <cp:lastModifiedBy>Salasalan, Marecil</cp:lastModifiedBy>
  <cp:revision>3</cp:revision>
  <cp:lastPrinted>2023-03-21T15:34:00Z</cp:lastPrinted>
  <dcterms:created xsi:type="dcterms:W3CDTF">2023-04-17T09:57:00Z</dcterms:created>
  <dcterms:modified xsi:type="dcterms:W3CDTF">2023-04-18T09:51:00Z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0x01010034009F1F66C50C4998C32C51C1965A97</vt:lpwstr>
  </property>
  <property fmtid="{D5CDD505-2E9C-101B-9397-08002B2CF9AE}" pid="3" name="CitaviDocumentProperty_7">
    <vt:lpwstr>DTAILs Revision</vt:lpwstr>
  </property>
  <property fmtid="{D5CDD505-2E9C-101B-9397-08002B2CF9AE}" pid="4" name="CitaviDocumentProperty_0">
    <vt:lpwstr>0fad3096-7869-4645-9cbe-5d0f4a0dd676</vt:lpwstr>
  </property>
  <property fmtid="{D5CDD505-2E9C-101B-9397-08002B2CF9AE}" pid="5" name="CitaviDocumentProperty_1">
    <vt:lpwstr>6.14.0.0</vt:lpwstr>
  </property>
  <property fmtid="{D5CDD505-2E9C-101B-9397-08002B2CF9AE}" pid="6" name="CitaviDocumentProperty_25">
    <vt:lpwstr>True</vt:lpwstr>
  </property>
  <property fmtid="{D5CDD505-2E9C-101B-9397-08002B2CF9AE}" pid="7" name="CitaviDocumentProperty_11">
    <vt:lpwstr>Überschrift 1</vt:lpwstr>
  </property>
  <property fmtid="{D5CDD505-2E9C-101B-9397-08002B2CF9AE}" pid="8" name="CitaviDocumentProperty_12">
    <vt:lpwstr>Standard</vt:lpwstr>
  </property>
  <property fmtid="{D5CDD505-2E9C-101B-9397-08002B2CF9AE}" pid="9" name="CitaviDocumentProperty_16">
    <vt:lpwstr>Untertitel</vt:lpwstr>
  </property>
  <property fmtid="{D5CDD505-2E9C-101B-9397-08002B2CF9AE}" pid="10" name="CitaviDocumentProperty_13">
    <vt:lpwstr>Standard</vt:lpwstr>
  </property>
  <property fmtid="{D5CDD505-2E9C-101B-9397-08002B2CF9AE}" pid="11" name="CitaviDocumentProperty_15">
    <vt:lpwstr>Standard</vt:lpwstr>
  </property>
  <property fmtid="{D5CDD505-2E9C-101B-9397-08002B2CF9AE}" pid="12" name="CitaviDocumentProperty_17">
    <vt:lpwstr>Standard</vt:lpwstr>
  </property>
  <property fmtid="{D5CDD505-2E9C-101B-9397-08002B2CF9AE}" pid="13" name="CitaviDocumentProperty_9">
    <vt:lpwstr>False</vt:lpwstr>
  </property>
  <property fmtid="{D5CDD505-2E9C-101B-9397-08002B2CF9AE}" pid="14" name="CitaviDocumentProperty_8">
    <vt:lpwstr>CloudProjectKey=pvh88dinh4dqxh9gj406cxdb0xqe5nugkfr4q9l928; ProjectName=DTAILs Revision</vt:lpwstr>
  </property>
  <property fmtid="{D5CDD505-2E9C-101B-9397-08002B2CF9AE}" pid="15" name="CitaviDocumentProperty_6">
    <vt:lpwstr>True</vt:lpwstr>
  </property>
</Properties>
</file>