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CCEDE8" w14:textId="77777777" w:rsidR="00BB01E1" w:rsidRPr="00BB01E1" w:rsidRDefault="00BB01E1" w:rsidP="005259D8">
      <w:pPr>
        <w:keepNext/>
        <w:keepLines/>
        <w:spacing w:before="240" w:after="120" w:line="240" w:lineRule="auto"/>
        <w:jc w:val="center"/>
        <w:outlineLvl w:val="0"/>
        <w:rPr>
          <w:rFonts w:ascii="Times New Roman" w:eastAsia="Times New Roman" w:hAnsi="Times New Roman" w:cs="Times New Roman"/>
          <w:b/>
          <w:bCs/>
          <w:sz w:val="24"/>
          <w:szCs w:val="28"/>
        </w:rPr>
      </w:pPr>
      <w:bookmarkStart w:id="0" w:name="_Hlk116159026"/>
      <w:r w:rsidRPr="00BB01E1">
        <w:rPr>
          <w:rFonts w:ascii="Times New Roman" w:eastAsia="Times New Roman" w:hAnsi="Times New Roman" w:cs="Times New Roman"/>
          <w:b/>
          <w:bCs/>
          <w:sz w:val="28"/>
          <w:szCs w:val="28"/>
        </w:rPr>
        <w:t>FOCUS GROUP DISCUSSION AND INTERVIEW GUIDE</w:t>
      </w:r>
      <w:r w:rsidR="005259D8">
        <w:rPr>
          <w:rFonts w:ascii="Times New Roman" w:eastAsia="Times New Roman" w:hAnsi="Times New Roman" w:cs="Times New Roman"/>
          <w:b/>
          <w:bCs/>
          <w:sz w:val="28"/>
          <w:szCs w:val="28"/>
        </w:rPr>
        <w:t>LINE</w:t>
      </w:r>
    </w:p>
    <w:p w14:paraId="28CCEDE9" w14:textId="77777777" w:rsidR="00BB01E1" w:rsidRPr="00BB01E1" w:rsidRDefault="00BB01E1" w:rsidP="00BB01E1">
      <w:pPr>
        <w:spacing w:after="240" w:line="276" w:lineRule="auto"/>
        <w:jc w:val="both"/>
        <w:rPr>
          <w:rFonts w:ascii="Times New Roman" w:eastAsia="Times New Roman" w:hAnsi="Times New Roman" w:cs="Times New Roman"/>
          <w:sz w:val="24"/>
          <w:szCs w:val="24"/>
        </w:rPr>
      </w:pPr>
      <w:r w:rsidRPr="00BB01E1">
        <w:rPr>
          <w:rFonts w:ascii="Times New Roman" w:eastAsia="Times New Roman" w:hAnsi="Times New Roman" w:cs="Times New Roman"/>
          <w:sz w:val="24"/>
          <w:szCs w:val="24"/>
        </w:rPr>
        <w:t>Thank you for taking the time to participate in this focus group discussion and interview about the Nigerian maize sector. This focus group/interview is part of a larger research process to obtain information and learn more about the maize</w:t>
      </w:r>
      <w:r w:rsidR="00D15FC7">
        <w:rPr>
          <w:rFonts w:ascii="Times New Roman" w:eastAsia="Times New Roman" w:hAnsi="Times New Roman" w:cs="Times New Roman"/>
          <w:sz w:val="24"/>
          <w:szCs w:val="24"/>
        </w:rPr>
        <w:t xml:space="preserve"> sector</w:t>
      </w:r>
      <w:r w:rsidRPr="00BB01E1">
        <w:rPr>
          <w:rFonts w:ascii="Times New Roman" w:eastAsia="Times New Roman" w:hAnsi="Times New Roman" w:cs="Times New Roman"/>
          <w:sz w:val="24"/>
          <w:szCs w:val="24"/>
        </w:rPr>
        <w:t>, the related stakeholders/institutions</w:t>
      </w:r>
      <w:r w:rsidR="009C2115">
        <w:rPr>
          <w:rFonts w:ascii="Times New Roman" w:eastAsia="Times New Roman" w:hAnsi="Times New Roman" w:cs="Times New Roman"/>
          <w:sz w:val="24"/>
          <w:szCs w:val="24"/>
        </w:rPr>
        <w:t xml:space="preserve"> </w:t>
      </w:r>
      <w:r w:rsidR="00D15FC7">
        <w:rPr>
          <w:rFonts w:ascii="Times New Roman" w:eastAsia="Times New Roman" w:hAnsi="Times New Roman" w:cs="Times New Roman"/>
          <w:sz w:val="24"/>
          <w:szCs w:val="24"/>
        </w:rPr>
        <w:t>in the innovation system</w:t>
      </w:r>
      <w:r w:rsidRPr="00BB01E1">
        <w:rPr>
          <w:rFonts w:ascii="Times New Roman" w:eastAsia="Times New Roman" w:hAnsi="Times New Roman" w:cs="Times New Roman"/>
          <w:sz w:val="24"/>
          <w:szCs w:val="24"/>
        </w:rPr>
        <w:t>,</w:t>
      </w:r>
      <w:r w:rsidR="00D15FC7">
        <w:rPr>
          <w:rFonts w:ascii="Times New Roman" w:eastAsia="Times New Roman" w:hAnsi="Times New Roman" w:cs="Times New Roman"/>
          <w:sz w:val="24"/>
          <w:szCs w:val="24"/>
        </w:rPr>
        <w:t xml:space="preserve"> </w:t>
      </w:r>
      <w:r w:rsidRPr="00BB01E1">
        <w:rPr>
          <w:rFonts w:ascii="Times New Roman" w:eastAsia="Times New Roman" w:hAnsi="Times New Roman" w:cs="Times New Roman"/>
          <w:sz w:val="24"/>
          <w:szCs w:val="24"/>
        </w:rPr>
        <w:t xml:space="preserve">and </w:t>
      </w:r>
      <w:r w:rsidR="00D15FC7" w:rsidRPr="00BB01E1">
        <w:rPr>
          <w:rFonts w:ascii="Times New Roman" w:eastAsia="Times New Roman" w:hAnsi="Times New Roman" w:cs="Times New Roman"/>
          <w:sz w:val="24"/>
          <w:szCs w:val="24"/>
        </w:rPr>
        <w:t xml:space="preserve">institutional </w:t>
      </w:r>
      <w:r w:rsidR="00D15FC7">
        <w:rPr>
          <w:rFonts w:ascii="Times New Roman" w:eastAsia="Times New Roman" w:hAnsi="Times New Roman" w:cs="Times New Roman"/>
          <w:sz w:val="24"/>
          <w:szCs w:val="24"/>
        </w:rPr>
        <w:t xml:space="preserve">and </w:t>
      </w:r>
      <w:r w:rsidR="006967EC">
        <w:rPr>
          <w:rFonts w:ascii="Times New Roman" w:eastAsia="Times New Roman" w:hAnsi="Times New Roman" w:cs="Times New Roman"/>
          <w:sz w:val="24"/>
          <w:szCs w:val="24"/>
        </w:rPr>
        <w:t xml:space="preserve">governance </w:t>
      </w:r>
      <w:r w:rsidRPr="00BB01E1">
        <w:rPr>
          <w:rFonts w:ascii="Times New Roman" w:eastAsia="Times New Roman" w:hAnsi="Times New Roman" w:cs="Times New Roman"/>
          <w:sz w:val="24"/>
          <w:szCs w:val="24"/>
        </w:rPr>
        <w:t xml:space="preserve">challenges </w:t>
      </w:r>
      <w:r w:rsidR="009C2115">
        <w:rPr>
          <w:rFonts w:ascii="Times New Roman" w:eastAsia="Times New Roman" w:hAnsi="Times New Roman" w:cs="Times New Roman"/>
          <w:sz w:val="24"/>
          <w:szCs w:val="24"/>
        </w:rPr>
        <w:t xml:space="preserve">inhibiting </w:t>
      </w:r>
      <w:r w:rsidRPr="00BB01E1">
        <w:rPr>
          <w:rFonts w:ascii="Times New Roman" w:eastAsia="Times New Roman" w:hAnsi="Times New Roman" w:cs="Times New Roman"/>
          <w:sz w:val="24"/>
          <w:szCs w:val="24"/>
        </w:rPr>
        <w:t xml:space="preserve">government policies </w:t>
      </w:r>
      <w:r w:rsidR="009C2115">
        <w:rPr>
          <w:rFonts w:ascii="Times New Roman" w:eastAsia="Times New Roman" w:hAnsi="Times New Roman" w:cs="Times New Roman"/>
          <w:sz w:val="24"/>
          <w:szCs w:val="24"/>
        </w:rPr>
        <w:t xml:space="preserve">from </w:t>
      </w:r>
      <w:r w:rsidR="00D15FC7">
        <w:rPr>
          <w:rFonts w:ascii="Times New Roman" w:eastAsia="Times New Roman" w:hAnsi="Times New Roman" w:cs="Times New Roman"/>
          <w:sz w:val="24"/>
          <w:szCs w:val="24"/>
        </w:rPr>
        <w:t xml:space="preserve">improving </w:t>
      </w:r>
      <w:r w:rsidR="009C2115">
        <w:rPr>
          <w:rFonts w:ascii="Times New Roman" w:eastAsia="Times New Roman" w:hAnsi="Times New Roman" w:cs="Times New Roman"/>
          <w:sz w:val="24"/>
          <w:szCs w:val="24"/>
        </w:rPr>
        <w:t xml:space="preserve">the agricultural </w:t>
      </w:r>
      <w:r w:rsidR="006967EC">
        <w:rPr>
          <w:rFonts w:ascii="Times New Roman" w:eastAsia="Times New Roman" w:hAnsi="Times New Roman" w:cs="Times New Roman"/>
          <w:sz w:val="24"/>
          <w:szCs w:val="24"/>
        </w:rPr>
        <w:t xml:space="preserve">sector </w:t>
      </w:r>
      <w:r w:rsidRPr="00BB01E1">
        <w:rPr>
          <w:rFonts w:ascii="Times New Roman" w:eastAsia="Times New Roman" w:hAnsi="Times New Roman" w:cs="Times New Roman"/>
          <w:sz w:val="24"/>
          <w:szCs w:val="24"/>
        </w:rPr>
        <w:t>in Nigeria.</w:t>
      </w:r>
    </w:p>
    <w:p w14:paraId="28CCEDEA" w14:textId="77777777" w:rsidR="00BB01E1" w:rsidRPr="00BB01E1" w:rsidRDefault="00BB01E1" w:rsidP="00BB01E1">
      <w:pPr>
        <w:spacing w:after="200" w:line="276" w:lineRule="auto"/>
        <w:jc w:val="both"/>
        <w:rPr>
          <w:rFonts w:ascii="Times New Roman" w:eastAsia="Times New Roman" w:hAnsi="Times New Roman" w:cs="Times New Roman"/>
          <w:sz w:val="24"/>
          <w:szCs w:val="24"/>
        </w:rPr>
      </w:pPr>
      <w:r w:rsidRPr="00BB01E1">
        <w:rPr>
          <w:rFonts w:ascii="Times New Roman" w:eastAsia="Times New Roman" w:hAnsi="Times New Roman" w:cs="Times New Roman"/>
          <w:sz w:val="24"/>
          <w:szCs w:val="24"/>
        </w:rPr>
        <w:t xml:space="preserve">You are a group of people </w:t>
      </w:r>
      <w:r w:rsidR="005044C1">
        <w:rPr>
          <w:rFonts w:ascii="Times New Roman" w:eastAsia="Times New Roman" w:hAnsi="Times New Roman" w:cs="Times New Roman"/>
          <w:sz w:val="24"/>
          <w:szCs w:val="24"/>
        </w:rPr>
        <w:t>who</w:t>
      </w:r>
      <w:r w:rsidRPr="00BB01E1">
        <w:rPr>
          <w:rFonts w:ascii="Times New Roman" w:eastAsia="Times New Roman" w:hAnsi="Times New Roman" w:cs="Times New Roman"/>
          <w:sz w:val="24"/>
          <w:szCs w:val="24"/>
        </w:rPr>
        <w:t xml:space="preserve"> deal in maize and with whom sectoral, regional, or national issues on maize are </w:t>
      </w:r>
      <w:r w:rsidRPr="00BB01E1">
        <w:rPr>
          <w:rFonts w:ascii="Times New Roman" w:eastAsia="Times New Roman" w:hAnsi="Times New Roman" w:cs="Times New Roman"/>
          <w:noProof/>
          <w:sz w:val="24"/>
          <w:szCs w:val="24"/>
        </w:rPr>
        <w:t>pertinent</w:t>
      </w:r>
      <w:r w:rsidRPr="00BB01E1">
        <w:rPr>
          <w:rFonts w:ascii="Times New Roman" w:eastAsia="Times New Roman" w:hAnsi="Times New Roman" w:cs="Times New Roman"/>
          <w:sz w:val="24"/>
          <w:szCs w:val="24"/>
        </w:rPr>
        <w:t xml:space="preserve">. </w:t>
      </w:r>
      <w:r w:rsidR="003A2B44">
        <w:rPr>
          <w:rFonts w:ascii="Times New Roman" w:eastAsia="Times New Roman" w:hAnsi="Times New Roman" w:cs="Times New Roman"/>
          <w:sz w:val="24"/>
          <w:szCs w:val="24"/>
        </w:rPr>
        <w:t>Specifically, w</w:t>
      </w:r>
      <w:r w:rsidRPr="00BB01E1">
        <w:rPr>
          <w:rFonts w:ascii="Times New Roman" w:eastAsia="Times New Roman" w:hAnsi="Times New Roman" w:cs="Times New Roman"/>
          <w:sz w:val="24"/>
          <w:szCs w:val="24"/>
        </w:rPr>
        <w:t xml:space="preserve">e would like to hear from you about the stakeholders/institutions involved in supporting the sector, </w:t>
      </w:r>
      <w:r w:rsidR="006967EC">
        <w:rPr>
          <w:rFonts w:ascii="Times New Roman" w:eastAsia="Times New Roman" w:hAnsi="Times New Roman" w:cs="Times New Roman"/>
          <w:sz w:val="24"/>
          <w:szCs w:val="24"/>
        </w:rPr>
        <w:t xml:space="preserve">the implementation process of the input subsidy </w:t>
      </w:r>
      <w:proofErr w:type="spellStart"/>
      <w:r w:rsidR="006967EC">
        <w:rPr>
          <w:rFonts w:ascii="Times New Roman" w:eastAsia="Times New Roman" w:hAnsi="Times New Roman" w:cs="Times New Roman"/>
          <w:sz w:val="24"/>
          <w:szCs w:val="24"/>
        </w:rPr>
        <w:t>programme</w:t>
      </w:r>
      <w:proofErr w:type="spellEnd"/>
      <w:r w:rsidR="006967EC">
        <w:rPr>
          <w:rFonts w:ascii="Times New Roman" w:eastAsia="Times New Roman" w:hAnsi="Times New Roman" w:cs="Times New Roman"/>
          <w:sz w:val="24"/>
          <w:szCs w:val="24"/>
        </w:rPr>
        <w:t xml:space="preserve">, and associated governance challenges that limited the successful implementation of the </w:t>
      </w:r>
      <w:proofErr w:type="spellStart"/>
      <w:r w:rsidR="006967EC">
        <w:rPr>
          <w:rFonts w:ascii="Times New Roman" w:eastAsia="Times New Roman" w:hAnsi="Times New Roman" w:cs="Times New Roman"/>
          <w:sz w:val="24"/>
          <w:szCs w:val="24"/>
        </w:rPr>
        <w:t>programme</w:t>
      </w:r>
      <w:proofErr w:type="spellEnd"/>
      <w:r w:rsidR="006967EC">
        <w:rPr>
          <w:rFonts w:ascii="Times New Roman" w:eastAsia="Times New Roman" w:hAnsi="Times New Roman" w:cs="Times New Roman"/>
          <w:sz w:val="24"/>
          <w:szCs w:val="24"/>
        </w:rPr>
        <w:t xml:space="preserve"> </w:t>
      </w:r>
      <w:r w:rsidRPr="00BB01E1">
        <w:rPr>
          <w:rFonts w:ascii="Times New Roman" w:eastAsia="Times New Roman" w:hAnsi="Times New Roman" w:cs="Times New Roman"/>
          <w:sz w:val="24"/>
          <w:szCs w:val="24"/>
        </w:rPr>
        <w:t xml:space="preserve">in the country. </w:t>
      </w:r>
      <w:r w:rsidR="003A2B44">
        <w:rPr>
          <w:rFonts w:ascii="Times New Roman" w:eastAsia="Times New Roman" w:hAnsi="Times New Roman" w:cs="Times New Roman"/>
          <w:sz w:val="24"/>
          <w:szCs w:val="24"/>
        </w:rPr>
        <w:t>Also</w:t>
      </w:r>
      <w:r w:rsidRPr="00BB01E1">
        <w:rPr>
          <w:rFonts w:ascii="Times New Roman" w:eastAsia="Times New Roman" w:hAnsi="Times New Roman" w:cs="Times New Roman"/>
          <w:sz w:val="24"/>
          <w:szCs w:val="24"/>
        </w:rPr>
        <w:t xml:space="preserve">, we would like to learn about possible recommendations on how </w:t>
      </w:r>
      <w:r w:rsidR="003A2B44">
        <w:rPr>
          <w:rFonts w:ascii="Times New Roman" w:eastAsia="Times New Roman" w:hAnsi="Times New Roman" w:cs="Times New Roman"/>
          <w:sz w:val="24"/>
          <w:szCs w:val="24"/>
        </w:rPr>
        <w:t xml:space="preserve">the </w:t>
      </w:r>
      <w:r w:rsidRPr="00BB01E1">
        <w:rPr>
          <w:rFonts w:ascii="Times New Roman" w:eastAsia="Times New Roman" w:hAnsi="Times New Roman" w:cs="Times New Roman"/>
          <w:sz w:val="24"/>
          <w:szCs w:val="24"/>
        </w:rPr>
        <w:t xml:space="preserve">institutional </w:t>
      </w:r>
      <w:r w:rsidR="006967EC">
        <w:rPr>
          <w:rFonts w:ascii="Times New Roman" w:eastAsia="Times New Roman" w:hAnsi="Times New Roman" w:cs="Times New Roman"/>
          <w:sz w:val="24"/>
          <w:szCs w:val="24"/>
        </w:rPr>
        <w:t xml:space="preserve">and governance </w:t>
      </w:r>
      <w:r w:rsidR="00D15FC7">
        <w:rPr>
          <w:rFonts w:ascii="Times New Roman" w:eastAsia="Times New Roman" w:hAnsi="Times New Roman" w:cs="Times New Roman"/>
          <w:sz w:val="24"/>
          <w:szCs w:val="24"/>
        </w:rPr>
        <w:t>challenges</w:t>
      </w:r>
      <w:r w:rsidRPr="00BB01E1">
        <w:rPr>
          <w:rFonts w:ascii="Times New Roman" w:eastAsia="Times New Roman" w:hAnsi="Times New Roman" w:cs="Times New Roman"/>
          <w:sz w:val="24"/>
          <w:szCs w:val="24"/>
        </w:rPr>
        <w:t xml:space="preserve"> </w:t>
      </w:r>
      <w:r w:rsidR="003A2B44">
        <w:rPr>
          <w:rFonts w:ascii="Times New Roman" w:eastAsia="Times New Roman" w:hAnsi="Times New Roman" w:cs="Times New Roman"/>
          <w:sz w:val="24"/>
          <w:szCs w:val="24"/>
        </w:rPr>
        <w:t xml:space="preserve">and entry points </w:t>
      </w:r>
      <w:r w:rsidRPr="00BB01E1">
        <w:rPr>
          <w:rFonts w:ascii="Times New Roman" w:eastAsia="Times New Roman" w:hAnsi="Times New Roman" w:cs="Times New Roman"/>
          <w:sz w:val="24"/>
          <w:szCs w:val="24"/>
        </w:rPr>
        <w:t xml:space="preserve">can be </w:t>
      </w:r>
      <w:r w:rsidR="00D15FC7">
        <w:rPr>
          <w:rFonts w:ascii="Times New Roman" w:eastAsia="Times New Roman" w:hAnsi="Times New Roman" w:cs="Times New Roman"/>
          <w:sz w:val="24"/>
          <w:szCs w:val="24"/>
        </w:rPr>
        <w:t xml:space="preserve">resolved </w:t>
      </w:r>
      <w:r w:rsidRPr="00BB01E1">
        <w:rPr>
          <w:rFonts w:ascii="Times New Roman" w:eastAsia="Times New Roman" w:hAnsi="Times New Roman" w:cs="Times New Roman"/>
          <w:sz w:val="24"/>
          <w:szCs w:val="24"/>
        </w:rPr>
        <w:t xml:space="preserve">to foster </w:t>
      </w:r>
      <w:r w:rsidR="003A2B44">
        <w:rPr>
          <w:rFonts w:ascii="Times New Roman" w:eastAsia="Times New Roman" w:hAnsi="Times New Roman" w:cs="Times New Roman"/>
          <w:sz w:val="24"/>
          <w:szCs w:val="24"/>
        </w:rPr>
        <w:t xml:space="preserve">maize productivity and </w:t>
      </w:r>
      <w:r w:rsidRPr="00BB01E1">
        <w:rPr>
          <w:rFonts w:ascii="Times New Roman" w:eastAsia="Times New Roman" w:hAnsi="Times New Roman" w:cs="Times New Roman"/>
          <w:sz w:val="24"/>
          <w:szCs w:val="24"/>
        </w:rPr>
        <w:t xml:space="preserve">competitiveness of </w:t>
      </w:r>
      <w:r w:rsidR="003A2B44">
        <w:rPr>
          <w:rFonts w:ascii="Times New Roman" w:eastAsia="Times New Roman" w:hAnsi="Times New Roman" w:cs="Times New Roman"/>
          <w:sz w:val="24"/>
          <w:szCs w:val="24"/>
        </w:rPr>
        <w:t xml:space="preserve">private actors </w:t>
      </w:r>
      <w:r w:rsidRPr="00BB01E1">
        <w:rPr>
          <w:rFonts w:ascii="Times New Roman" w:eastAsia="Times New Roman" w:hAnsi="Times New Roman" w:cs="Times New Roman"/>
          <w:sz w:val="24"/>
          <w:szCs w:val="24"/>
        </w:rPr>
        <w:t xml:space="preserve">in </w:t>
      </w:r>
      <w:r w:rsidR="003A2B44">
        <w:rPr>
          <w:rFonts w:ascii="Times New Roman" w:eastAsia="Times New Roman" w:hAnsi="Times New Roman" w:cs="Times New Roman"/>
          <w:sz w:val="24"/>
          <w:szCs w:val="24"/>
        </w:rPr>
        <w:t>the sector</w:t>
      </w:r>
      <w:r w:rsidRPr="00BB01E1">
        <w:rPr>
          <w:rFonts w:ascii="Times New Roman" w:eastAsia="Times New Roman" w:hAnsi="Times New Roman" w:cs="Times New Roman"/>
          <w:sz w:val="24"/>
          <w:szCs w:val="24"/>
        </w:rPr>
        <w:t>.</w:t>
      </w:r>
    </w:p>
    <w:p w14:paraId="28CCEDEB" w14:textId="1138C5B4" w:rsidR="00BB01E1" w:rsidRPr="00BB01E1" w:rsidRDefault="00BB01E1" w:rsidP="00BB01E1">
      <w:pPr>
        <w:spacing w:after="200" w:line="276" w:lineRule="auto"/>
        <w:jc w:val="both"/>
        <w:rPr>
          <w:rFonts w:ascii="Times New Roman" w:eastAsia="Times New Roman" w:hAnsi="Times New Roman" w:cs="Times New Roman"/>
          <w:sz w:val="24"/>
          <w:szCs w:val="24"/>
        </w:rPr>
      </w:pPr>
      <w:r w:rsidRPr="00BB01E1">
        <w:rPr>
          <w:rFonts w:ascii="Times New Roman" w:eastAsia="Times New Roman" w:hAnsi="Times New Roman" w:cs="Times New Roman"/>
          <w:sz w:val="24"/>
          <w:szCs w:val="24"/>
        </w:rPr>
        <w:t>During th</w:t>
      </w:r>
      <w:r w:rsidR="003A2B44">
        <w:rPr>
          <w:rFonts w:ascii="Times New Roman" w:eastAsia="Times New Roman" w:hAnsi="Times New Roman" w:cs="Times New Roman"/>
          <w:sz w:val="24"/>
          <w:szCs w:val="24"/>
        </w:rPr>
        <w:t>e</w:t>
      </w:r>
      <w:r w:rsidRPr="00BB01E1">
        <w:rPr>
          <w:rFonts w:ascii="Times New Roman" w:eastAsia="Times New Roman" w:hAnsi="Times New Roman" w:cs="Times New Roman"/>
          <w:sz w:val="24"/>
          <w:szCs w:val="24"/>
        </w:rPr>
        <w:t xml:space="preserve"> focus </w:t>
      </w:r>
      <w:r w:rsidRPr="00BB01E1">
        <w:rPr>
          <w:rFonts w:ascii="Times New Roman" w:eastAsia="Times New Roman" w:hAnsi="Times New Roman" w:cs="Times New Roman"/>
          <w:noProof/>
          <w:sz w:val="24"/>
          <w:szCs w:val="24"/>
        </w:rPr>
        <w:t>group discussion/interview</w:t>
      </w:r>
      <w:r w:rsidR="003A2B44">
        <w:rPr>
          <w:rFonts w:ascii="Times New Roman" w:eastAsia="Times New Roman" w:hAnsi="Times New Roman" w:cs="Times New Roman"/>
          <w:noProof/>
          <w:sz w:val="24"/>
          <w:szCs w:val="24"/>
        </w:rPr>
        <w:t>s</w:t>
      </w:r>
      <w:r w:rsidRPr="00BB01E1">
        <w:rPr>
          <w:rFonts w:ascii="Times New Roman" w:eastAsia="Times New Roman" w:hAnsi="Times New Roman" w:cs="Times New Roman"/>
          <w:noProof/>
          <w:sz w:val="24"/>
          <w:szCs w:val="24"/>
        </w:rPr>
        <w:t>,</w:t>
      </w:r>
      <w:r w:rsidRPr="00BB01E1">
        <w:rPr>
          <w:rFonts w:ascii="Times New Roman" w:eastAsia="Times New Roman" w:hAnsi="Times New Roman" w:cs="Times New Roman"/>
          <w:sz w:val="24"/>
          <w:szCs w:val="24"/>
        </w:rPr>
        <w:t xml:space="preserve"> we will ask questions and facilitate a conversation on the above issues. For the focus group discussions, </w:t>
      </w:r>
      <w:r w:rsidRPr="00BB01E1">
        <w:rPr>
          <w:rFonts w:ascii="Times New Roman" w:eastAsia="Times New Roman" w:hAnsi="Times New Roman" w:cs="Times New Roman"/>
          <w:b/>
          <w:sz w:val="24"/>
          <w:szCs w:val="24"/>
        </w:rPr>
        <w:t xml:space="preserve">we will use an instrument called the </w:t>
      </w:r>
      <w:r w:rsidR="006967EC">
        <w:rPr>
          <w:rFonts w:ascii="Times New Roman" w:eastAsia="Times New Roman" w:hAnsi="Times New Roman" w:cs="Times New Roman"/>
          <w:b/>
          <w:sz w:val="24"/>
          <w:szCs w:val="24"/>
        </w:rPr>
        <w:t xml:space="preserve">Process </w:t>
      </w:r>
      <w:r w:rsidR="00D15FC7">
        <w:rPr>
          <w:rFonts w:ascii="Times New Roman" w:eastAsia="Times New Roman" w:hAnsi="Times New Roman" w:cs="Times New Roman"/>
          <w:b/>
          <w:sz w:val="24"/>
          <w:szCs w:val="24"/>
        </w:rPr>
        <w:t>N</w:t>
      </w:r>
      <w:r w:rsidRPr="00BB01E1">
        <w:rPr>
          <w:rFonts w:ascii="Times New Roman" w:eastAsia="Times New Roman" w:hAnsi="Times New Roman" w:cs="Times New Roman"/>
          <w:b/>
          <w:sz w:val="24"/>
          <w:szCs w:val="24"/>
        </w:rPr>
        <w:t>et-</w:t>
      </w:r>
      <w:r w:rsidR="00EB3286">
        <w:rPr>
          <w:rFonts w:ascii="Times New Roman" w:eastAsia="Times New Roman" w:hAnsi="Times New Roman" w:cs="Times New Roman"/>
          <w:b/>
          <w:sz w:val="24"/>
          <w:szCs w:val="24"/>
        </w:rPr>
        <w:t>M</w:t>
      </w:r>
      <w:r w:rsidRPr="00BB01E1">
        <w:rPr>
          <w:rFonts w:ascii="Times New Roman" w:eastAsia="Times New Roman" w:hAnsi="Times New Roman" w:cs="Times New Roman"/>
          <w:b/>
          <w:sz w:val="24"/>
          <w:szCs w:val="24"/>
        </w:rPr>
        <w:t>apping tool.</w:t>
      </w:r>
      <w:r w:rsidRPr="00BB01E1">
        <w:rPr>
          <w:rFonts w:ascii="Times New Roman" w:eastAsia="Times New Roman" w:hAnsi="Times New Roman" w:cs="Times New Roman"/>
          <w:sz w:val="24"/>
          <w:szCs w:val="24"/>
        </w:rPr>
        <w:t xml:space="preserve"> The purpose of this tool is to stimulate conversation and represent the consensus opinion of everyone on the cardboard. Please note that there </w:t>
      </w:r>
      <w:r w:rsidRPr="00BB01E1">
        <w:rPr>
          <w:rFonts w:ascii="Times New Roman" w:eastAsia="Times New Roman" w:hAnsi="Times New Roman" w:cs="Times New Roman"/>
          <w:noProof/>
          <w:sz w:val="24"/>
          <w:szCs w:val="24"/>
        </w:rPr>
        <w:t>are</w:t>
      </w:r>
      <w:r w:rsidRPr="00BB01E1">
        <w:rPr>
          <w:rFonts w:ascii="Times New Roman" w:eastAsia="Times New Roman" w:hAnsi="Times New Roman" w:cs="Times New Roman"/>
          <w:sz w:val="24"/>
          <w:szCs w:val="24"/>
        </w:rPr>
        <w:t xml:space="preserve"> no “right” or “wrong” answers</w:t>
      </w:r>
      <w:r w:rsidR="005044C1">
        <w:rPr>
          <w:rFonts w:ascii="Times New Roman" w:eastAsia="Times New Roman" w:hAnsi="Times New Roman" w:cs="Times New Roman"/>
          <w:sz w:val="24"/>
          <w:szCs w:val="24"/>
        </w:rPr>
        <w:t>,</w:t>
      </w:r>
      <w:r w:rsidRPr="00BB01E1">
        <w:rPr>
          <w:rFonts w:ascii="Times New Roman" w:eastAsia="Times New Roman" w:hAnsi="Times New Roman" w:cs="Times New Roman"/>
          <w:sz w:val="24"/>
          <w:szCs w:val="24"/>
        </w:rPr>
        <w:t xml:space="preserve"> so feel comfortable </w:t>
      </w:r>
      <w:r w:rsidR="00D648F4">
        <w:rPr>
          <w:rFonts w:ascii="Times New Roman" w:eastAsia="Times New Roman" w:hAnsi="Times New Roman" w:cs="Times New Roman"/>
          <w:sz w:val="24"/>
          <w:szCs w:val="24"/>
        </w:rPr>
        <w:t>speaking</w:t>
      </w:r>
      <w:r w:rsidRPr="00BB01E1">
        <w:rPr>
          <w:rFonts w:ascii="Times New Roman" w:eastAsia="Times New Roman" w:hAnsi="Times New Roman" w:cs="Times New Roman"/>
          <w:sz w:val="24"/>
          <w:szCs w:val="24"/>
        </w:rPr>
        <w:t xml:space="preserve"> honestly, shar</w:t>
      </w:r>
      <w:r w:rsidR="005044C1">
        <w:rPr>
          <w:rFonts w:ascii="Times New Roman" w:eastAsia="Times New Roman" w:hAnsi="Times New Roman" w:cs="Times New Roman"/>
          <w:sz w:val="24"/>
          <w:szCs w:val="24"/>
        </w:rPr>
        <w:t>ing</w:t>
      </w:r>
      <w:r w:rsidRPr="00BB01E1">
        <w:rPr>
          <w:rFonts w:ascii="Times New Roman" w:eastAsia="Times New Roman" w:hAnsi="Times New Roman" w:cs="Times New Roman"/>
          <w:sz w:val="24"/>
          <w:szCs w:val="24"/>
        </w:rPr>
        <w:t xml:space="preserve"> your ideas, and represent</w:t>
      </w:r>
      <w:r w:rsidR="005044C1">
        <w:rPr>
          <w:rFonts w:ascii="Times New Roman" w:eastAsia="Times New Roman" w:hAnsi="Times New Roman" w:cs="Times New Roman"/>
          <w:sz w:val="24"/>
          <w:szCs w:val="24"/>
        </w:rPr>
        <w:t>ing</w:t>
      </w:r>
      <w:r w:rsidRPr="00BB01E1">
        <w:rPr>
          <w:rFonts w:ascii="Times New Roman" w:eastAsia="Times New Roman" w:hAnsi="Times New Roman" w:cs="Times New Roman"/>
          <w:sz w:val="24"/>
          <w:szCs w:val="24"/>
        </w:rPr>
        <w:t xml:space="preserve"> them on the cardboard.</w:t>
      </w:r>
    </w:p>
    <w:p w14:paraId="28CCEDEC" w14:textId="77777777" w:rsidR="00BB01E1" w:rsidRPr="00BB01E1" w:rsidRDefault="00BB01E1" w:rsidP="00BB01E1">
      <w:pPr>
        <w:spacing w:after="200" w:line="276" w:lineRule="auto"/>
        <w:jc w:val="both"/>
        <w:rPr>
          <w:rFonts w:ascii="Times New Roman" w:eastAsia="Times New Roman" w:hAnsi="Times New Roman" w:cs="Times New Roman"/>
          <w:sz w:val="24"/>
          <w:szCs w:val="24"/>
        </w:rPr>
      </w:pPr>
      <w:r w:rsidRPr="00BB01E1">
        <w:rPr>
          <w:rFonts w:ascii="Times New Roman" w:eastAsia="Times New Roman" w:hAnsi="Times New Roman" w:cs="Times New Roman"/>
          <w:sz w:val="24"/>
          <w:szCs w:val="24"/>
        </w:rPr>
        <w:t>Please note that this session will be recorded</w:t>
      </w:r>
      <w:r w:rsidR="00D648F4">
        <w:rPr>
          <w:rFonts w:ascii="Times New Roman" w:eastAsia="Times New Roman" w:hAnsi="Times New Roman" w:cs="Times New Roman"/>
          <w:sz w:val="24"/>
          <w:szCs w:val="24"/>
        </w:rPr>
        <w:t xml:space="preserve">. The notetaker (Mr./Ms. XXX) </w:t>
      </w:r>
      <w:r w:rsidRPr="00BB01E1">
        <w:rPr>
          <w:rFonts w:ascii="Times New Roman" w:eastAsia="Times New Roman" w:hAnsi="Times New Roman" w:cs="Times New Roman"/>
          <w:sz w:val="24"/>
          <w:szCs w:val="24"/>
        </w:rPr>
        <w:t xml:space="preserve">will </w:t>
      </w:r>
      <w:r w:rsidR="00D648F4">
        <w:rPr>
          <w:rFonts w:ascii="Times New Roman" w:eastAsia="Times New Roman" w:hAnsi="Times New Roman" w:cs="Times New Roman"/>
          <w:sz w:val="24"/>
          <w:szCs w:val="24"/>
        </w:rPr>
        <w:t xml:space="preserve">also </w:t>
      </w:r>
      <w:r w:rsidRPr="00BB01E1">
        <w:rPr>
          <w:rFonts w:ascii="Times New Roman" w:eastAsia="Times New Roman" w:hAnsi="Times New Roman" w:cs="Times New Roman"/>
          <w:sz w:val="24"/>
          <w:szCs w:val="24"/>
        </w:rPr>
        <w:t>tak</w:t>
      </w:r>
      <w:r w:rsidR="00D648F4">
        <w:rPr>
          <w:rFonts w:ascii="Times New Roman" w:eastAsia="Times New Roman" w:hAnsi="Times New Roman" w:cs="Times New Roman"/>
          <w:sz w:val="24"/>
          <w:szCs w:val="24"/>
        </w:rPr>
        <w:t>e</w:t>
      </w:r>
      <w:r w:rsidRPr="00BB01E1">
        <w:rPr>
          <w:rFonts w:ascii="Times New Roman" w:eastAsia="Times New Roman" w:hAnsi="Times New Roman" w:cs="Times New Roman"/>
          <w:sz w:val="24"/>
          <w:szCs w:val="24"/>
        </w:rPr>
        <w:t xml:space="preserve"> notes </w:t>
      </w:r>
      <w:r w:rsidR="00D648F4">
        <w:rPr>
          <w:rFonts w:ascii="Times New Roman" w:eastAsia="Times New Roman" w:hAnsi="Times New Roman" w:cs="Times New Roman"/>
          <w:sz w:val="24"/>
          <w:szCs w:val="24"/>
        </w:rPr>
        <w:t xml:space="preserve">of important details. This will </w:t>
      </w:r>
      <w:r w:rsidRPr="00BB01E1">
        <w:rPr>
          <w:rFonts w:ascii="Times New Roman" w:eastAsia="Times New Roman" w:hAnsi="Times New Roman" w:cs="Times New Roman"/>
          <w:sz w:val="24"/>
          <w:szCs w:val="24"/>
        </w:rPr>
        <w:t xml:space="preserve">ensure </w:t>
      </w:r>
      <w:r w:rsidR="00D648F4">
        <w:rPr>
          <w:rFonts w:ascii="Times New Roman" w:eastAsia="Times New Roman" w:hAnsi="Times New Roman" w:cs="Times New Roman"/>
          <w:sz w:val="24"/>
          <w:szCs w:val="24"/>
        </w:rPr>
        <w:t xml:space="preserve">that </w:t>
      </w:r>
      <w:r w:rsidRPr="00BB01E1">
        <w:rPr>
          <w:rFonts w:ascii="Times New Roman" w:eastAsia="Times New Roman" w:hAnsi="Times New Roman" w:cs="Times New Roman"/>
          <w:sz w:val="24"/>
          <w:szCs w:val="24"/>
        </w:rPr>
        <w:t>we adequately capture your ideas</w:t>
      </w:r>
      <w:r w:rsidR="00D648F4">
        <w:rPr>
          <w:rFonts w:ascii="Times New Roman" w:eastAsia="Times New Roman" w:hAnsi="Times New Roman" w:cs="Times New Roman"/>
          <w:sz w:val="24"/>
          <w:szCs w:val="24"/>
        </w:rPr>
        <w:t xml:space="preserve"> </w:t>
      </w:r>
      <w:r w:rsidR="00D648F4" w:rsidRPr="00BB01E1">
        <w:rPr>
          <w:rFonts w:ascii="Times New Roman" w:eastAsia="Times New Roman" w:hAnsi="Times New Roman" w:cs="Times New Roman"/>
          <w:sz w:val="24"/>
          <w:szCs w:val="24"/>
        </w:rPr>
        <w:t>during the focus group discussion/interview</w:t>
      </w:r>
      <w:r w:rsidRPr="00BB01E1">
        <w:rPr>
          <w:rFonts w:ascii="Times New Roman" w:eastAsia="Times New Roman" w:hAnsi="Times New Roman" w:cs="Times New Roman"/>
          <w:sz w:val="24"/>
          <w:szCs w:val="24"/>
        </w:rPr>
        <w:t>. However,</w:t>
      </w:r>
      <w:r w:rsidR="00D648F4">
        <w:rPr>
          <w:rFonts w:ascii="Times New Roman" w:eastAsia="Times New Roman" w:hAnsi="Times New Roman" w:cs="Times New Roman"/>
          <w:sz w:val="24"/>
          <w:szCs w:val="24"/>
        </w:rPr>
        <w:t xml:space="preserve"> kindly note that</w:t>
      </w:r>
      <w:r w:rsidRPr="00BB01E1">
        <w:rPr>
          <w:rFonts w:ascii="Times New Roman" w:eastAsia="Times New Roman" w:hAnsi="Times New Roman" w:cs="Times New Roman"/>
          <w:sz w:val="24"/>
          <w:szCs w:val="24"/>
        </w:rPr>
        <w:t xml:space="preserve"> </w:t>
      </w:r>
      <w:r w:rsidR="00D648F4">
        <w:rPr>
          <w:rFonts w:ascii="Times New Roman" w:eastAsia="Times New Roman" w:hAnsi="Times New Roman" w:cs="Times New Roman"/>
          <w:sz w:val="24"/>
          <w:szCs w:val="24"/>
        </w:rPr>
        <w:t xml:space="preserve">your identity during </w:t>
      </w:r>
      <w:r w:rsidRPr="00BB01E1">
        <w:rPr>
          <w:rFonts w:ascii="Times New Roman" w:eastAsia="Times New Roman" w:hAnsi="Times New Roman" w:cs="Times New Roman"/>
          <w:sz w:val="24"/>
          <w:szCs w:val="24"/>
        </w:rPr>
        <w:t xml:space="preserve">the sessions will remain </w:t>
      </w:r>
      <w:r w:rsidRPr="00BB01E1">
        <w:rPr>
          <w:rFonts w:ascii="Times New Roman" w:eastAsia="Times New Roman" w:hAnsi="Times New Roman" w:cs="Times New Roman"/>
          <w:b/>
          <w:sz w:val="24"/>
          <w:szCs w:val="24"/>
        </w:rPr>
        <w:t>confidential</w:t>
      </w:r>
      <w:r w:rsidR="005044C1">
        <w:rPr>
          <w:rFonts w:ascii="Times New Roman" w:eastAsia="Times New Roman" w:hAnsi="Times New Roman" w:cs="Times New Roman"/>
          <w:b/>
          <w:sz w:val="24"/>
          <w:szCs w:val="24"/>
        </w:rPr>
        <w:t>,</w:t>
      </w:r>
      <w:r w:rsidRPr="00BB01E1">
        <w:rPr>
          <w:rFonts w:ascii="Times New Roman" w:eastAsia="Times New Roman" w:hAnsi="Times New Roman" w:cs="Times New Roman"/>
          <w:b/>
          <w:sz w:val="24"/>
          <w:szCs w:val="24"/>
        </w:rPr>
        <w:t xml:space="preserve"> </w:t>
      </w:r>
      <w:r w:rsidRPr="00BB01E1">
        <w:rPr>
          <w:rFonts w:ascii="Times New Roman" w:eastAsia="Times New Roman" w:hAnsi="Times New Roman" w:cs="Times New Roman"/>
          <w:sz w:val="24"/>
          <w:szCs w:val="24"/>
        </w:rPr>
        <w:t>and your name will not be attached to any comments you make.</w:t>
      </w:r>
    </w:p>
    <w:p w14:paraId="28CCEDED" w14:textId="77777777" w:rsidR="00BB01E1" w:rsidRPr="00BB01E1" w:rsidRDefault="00BB01E1" w:rsidP="00BB01E1">
      <w:pPr>
        <w:spacing w:after="200" w:line="276" w:lineRule="auto"/>
        <w:jc w:val="both"/>
        <w:rPr>
          <w:rFonts w:ascii="Times New Roman" w:eastAsia="Times New Roman" w:hAnsi="Times New Roman" w:cs="Times New Roman"/>
          <w:sz w:val="24"/>
          <w:szCs w:val="24"/>
        </w:rPr>
      </w:pPr>
    </w:p>
    <w:p w14:paraId="28CCEDEE" w14:textId="77777777" w:rsidR="00BB01E1" w:rsidRDefault="00BB01E1" w:rsidP="00BB01E1">
      <w:pPr>
        <w:spacing w:after="200" w:line="276" w:lineRule="auto"/>
        <w:jc w:val="both"/>
        <w:rPr>
          <w:rFonts w:ascii="Times New Roman" w:eastAsia="Times New Roman" w:hAnsi="Times New Roman" w:cs="Times New Roman"/>
          <w:sz w:val="24"/>
          <w:szCs w:val="24"/>
        </w:rPr>
      </w:pPr>
      <w:r w:rsidRPr="00BB01E1">
        <w:rPr>
          <w:rFonts w:ascii="Times New Roman" w:eastAsia="Times New Roman" w:hAnsi="Times New Roman" w:cs="Times New Roman"/>
          <w:sz w:val="24"/>
          <w:szCs w:val="24"/>
        </w:rPr>
        <w:t>Do you have any questions before we begin?</w:t>
      </w:r>
    </w:p>
    <w:p w14:paraId="28CCEDEF" w14:textId="77777777" w:rsidR="00D648F4" w:rsidRDefault="00D648F4" w:rsidP="00BB01E1">
      <w:pPr>
        <w:spacing w:after="200" w:line="276" w:lineRule="auto"/>
        <w:jc w:val="both"/>
        <w:rPr>
          <w:rFonts w:ascii="Times New Roman" w:eastAsia="Times New Roman" w:hAnsi="Times New Roman" w:cs="Times New Roman"/>
          <w:sz w:val="24"/>
          <w:szCs w:val="24"/>
        </w:rPr>
      </w:pPr>
    </w:p>
    <w:p w14:paraId="28CCEDF0" w14:textId="77777777" w:rsidR="00D648F4" w:rsidRPr="00BB01E1" w:rsidRDefault="00D648F4" w:rsidP="00BB01E1">
      <w:pPr>
        <w:spacing w:after="20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 you consent to participate in this focus group discussion/interview?</w:t>
      </w:r>
    </w:p>
    <w:p w14:paraId="28CCEDF1" w14:textId="77777777" w:rsidR="006967EC" w:rsidRDefault="006967EC" w:rsidP="006967EC">
      <w:pPr>
        <w:spacing w:after="200" w:line="276" w:lineRule="auto"/>
        <w:rPr>
          <w:rFonts w:ascii="Times New Roman" w:eastAsia="PMingLiU" w:hAnsi="Times New Roman" w:cs="Times New Roman"/>
          <w:b/>
          <w:bCs/>
          <w:sz w:val="24"/>
          <w:szCs w:val="20"/>
        </w:rPr>
        <w:sectPr w:rsidR="006967EC" w:rsidSect="006967EC">
          <w:footerReference w:type="default" r:id="rId8"/>
          <w:pgSz w:w="11906" w:h="16838"/>
          <w:pgMar w:top="1134" w:right="1417" w:bottom="1417" w:left="1417" w:header="708" w:footer="708" w:gutter="0"/>
          <w:cols w:space="708"/>
          <w:docGrid w:linePitch="360"/>
        </w:sectPr>
      </w:pPr>
    </w:p>
    <w:p w14:paraId="28CCEDF2" w14:textId="77777777" w:rsidR="00BB01E1" w:rsidRPr="00BB01E1" w:rsidRDefault="00BB01E1" w:rsidP="005044C1">
      <w:pPr>
        <w:pStyle w:val="Heading1"/>
        <w:spacing w:line="240" w:lineRule="auto"/>
        <w:rPr>
          <w:rFonts w:eastAsia="PMingLiU"/>
        </w:rPr>
      </w:pPr>
      <w:bookmarkStart w:id="1" w:name="_Hlk125884081"/>
      <w:r w:rsidRPr="00BB01E1">
        <w:rPr>
          <w:rFonts w:eastAsia="PMingLiU"/>
        </w:rPr>
        <w:lastRenderedPageBreak/>
        <w:t xml:space="preserve">QUESTIONS ON </w:t>
      </w:r>
      <w:r>
        <w:rPr>
          <w:rFonts w:eastAsia="PMingLiU"/>
        </w:rPr>
        <w:t>THE IMPLEMENTATION PROCESS AND GOVERNANCE CHALLENGES IN THE INPUT SUBSIDY PROGRAMME</w:t>
      </w:r>
    </w:p>
    <w:bookmarkEnd w:id="1"/>
    <w:p w14:paraId="28CCEDF3" w14:textId="77777777" w:rsidR="00BB01E1" w:rsidRPr="00BB01E1" w:rsidRDefault="00BB01E1" w:rsidP="00BB01E1">
      <w:pPr>
        <w:spacing w:after="0" w:line="276" w:lineRule="auto"/>
        <w:rPr>
          <w:rFonts w:ascii="Times New Roman" w:eastAsia="Calibri" w:hAnsi="Times New Roman" w:cs="Times New Roman"/>
          <w:sz w:val="20"/>
          <w:szCs w:val="20"/>
        </w:rPr>
      </w:pPr>
      <w:r w:rsidRPr="00BB01E1">
        <w:rPr>
          <w:rFonts w:ascii="Times New Roman" w:eastAsia="Calibri" w:hAnsi="Times New Roman" w:cs="Times New Roman"/>
          <w:sz w:val="20"/>
          <w:szCs w:val="20"/>
        </w:rPr>
        <w:t>Before we start, let us do a quick round of introduction</w:t>
      </w:r>
      <w:r w:rsidR="005044C1">
        <w:rPr>
          <w:rFonts w:ascii="Times New Roman" w:eastAsia="Calibri" w:hAnsi="Times New Roman" w:cs="Times New Roman"/>
          <w:sz w:val="20"/>
          <w:szCs w:val="20"/>
        </w:rPr>
        <w:t>s</w:t>
      </w:r>
      <w:r w:rsidRPr="00BB01E1">
        <w:rPr>
          <w:rFonts w:ascii="Times New Roman" w:eastAsia="Calibri" w:hAnsi="Times New Roman" w:cs="Times New Roman"/>
          <w:sz w:val="20"/>
          <w:szCs w:val="20"/>
        </w:rPr>
        <w:t>.</w:t>
      </w:r>
    </w:p>
    <w:p w14:paraId="28CCEDF4" w14:textId="77777777" w:rsidR="00BB01E1" w:rsidRPr="00BB01E1" w:rsidRDefault="00BB01E1" w:rsidP="00BB01E1">
      <w:pPr>
        <w:spacing w:after="0" w:line="276" w:lineRule="auto"/>
        <w:rPr>
          <w:rFonts w:ascii="Times New Roman" w:eastAsia="Calibri" w:hAnsi="Times New Roman" w:cs="Times New Roman"/>
          <w:sz w:val="20"/>
          <w:szCs w:val="20"/>
        </w:rPr>
      </w:pPr>
      <w:r w:rsidRPr="00BB01E1">
        <w:rPr>
          <w:rFonts w:ascii="Times New Roman" w:eastAsia="Calibri" w:hAnsi="Times New Roman" w:cs="Times New Roman"/>
          <w:sz w:val="20"/>
          <w:szCs w:val="20"/>
        </w:rPr>
        <w:t>Can each of you tell the group your name and your years of experience</w:t>
      </w:r>
      <w:r>
        <w:rPr>
          <w:rFonts w:ascii="Times New Roman" w:eastAsia="Calibri" w:hAnsi="Times New Roman" w:cs="Times New Roman"/>
          <w:sz w:val="20"/>
          <w:szCs w:val="20"/>
        </w:rPr>
        <w:t xml:space="preserve"> in the sector</w:t>
      </w:r>
      <w:r w:rsidRPr="00BB01E1">
        <w:rPr>
          <w:rFonts w:ascii="Times New Roman" w:eastAsia="Calibri" w:hAnsi="Times New Roman" w:cs="Times New Roman"/>
          <w:sz w:val="20"/>
          <w:szCs w:val="20"/>
        </w:rPr>
        <w:t>?</w:t>
      </w:r>
    </w:p>
    <w:tbl>
      <w:tblPr>
        <w:tblStyle w:val="TableGrid"/>
        <w:tblW w:w="15083" w:type="dxa"/>
        <w:jc w:val="center"/>
        <w:tblLook w:val="04A0" w:firstRow="1" w:lastRow="0" w:firstColumn="1" w:lastColumn="0" w:noHBand="0" w:noVBand="1"/>
      </w:tblPr>
      <w:tblGrid>
        <w:gridCol w:w="3652"/>
        <w:gridCol w:w="8313"/>
        <w:gridCol w:w="3118"/>
      </w:tblGrid>
      <w:tr w:rsidR="00BB01E1" w:rsidRPr="00BB01E1" w14:paraId="28CCEDF8" w14:textId="77777777" w:rsidTr="009C2115">
        <w:trPr>
          <w:trHeight w:val="75"/>
          <w:jc w:val="center"/>
        </w:trPr>
        <w:tc>
          <w:tcPr>
            <w:tcW w:w="3652" w:type="dxa"/>
          </w:tcPr>
          <w:p w14:paraId="28CCEDF5" w14:textId="77777777" w:rsidR="00BB01E1" w:rsidRPr="00BB01E1" w:rsidRDefault="00BB01E1" w:rsidP="00BB01E1">
            <w:pPr>
              <w:rPr>
                <w:rFonts w:ascii="Times New Roman" w:eastAsia="Calibri" w:hAnsi="Times New Roman" w:cs="Times New Roman"/>
                <w:b/>
                <w:sz w:val="20"/>
                <w:szCs w:val="20"/>
              </w:rPr>
            </w:pPr>
            <w:r w:rsidRPr="00BB01E1">
              <w:rPr>
                <w:rFonts w:ascii="Times New Roman" w:eastAsia="Calibri" w:hAnsi="Times New Roman" w:cs="Times New Roman"/>
                <w:b/>
                <w:sz w:val="20"/>
                <w:szCs w:val="20"/>
              </w:rPr>
              <w:t>Main questions</w:t>
            </w:r>
          </w:p>
        </w:tc>
        <w:tc>
          <w:tcPr>
            <w:tcW w:w="8313" w:type="dxa"/>
          </w:tcPr>
          <w:p w14:paraId="28CCEDF6" w14:textId="77777777" w:rsidR="00BB01E1" w:rsidRPr="00BB01E1" w:rsidRDefault="00BB01E1" w:rsidP="00BB01E1">
            <w:pPr>
              <w:rPr>
                <w:rFonts w:ascii="Times New Roman" w:eastAsia="Calibri" w:hAnsi="Times New Roman" w:cs="Times New Roman"/>
                <w:b/>
                <w:sz w:val="20"/>
                <w:szCs w:val="20"/>
              </w:rPr>
            </w:pPr>
            <w:r w:rsidRPr="00BB01E1">
              <w:rPr>
                <w:rFonts w:ascii="Times New Roman" w:eastAsia="Calibri" w:hAnsi="Times New Roman" w:cs="Times New Roman"/>
                <w:b/>
                <w:sz w:val="20"/>
                <w:szCs w:val="20"/>
              </w:rPr>
              <w:t>Supplementary questions</w:t>
            </w:r>
          </w:p>
        </w:tc>
        <w:tc>
          <w:tcPr>
            <w:tcW w:w="3118" w:type="dxa"/>
          </w:tcPr>
          <w:p w14:paraId="28CCEDF7" w14:textId="77777777" w:rsidR="00BB01E1" w:rsidRPr="00BB01E1" w:rsidRDefault="00BB01E1" w:rsidP="00BB01E1">
            <w:pPr>
              <w:rPr>
                <w:rFonts w:ascii="Times New Roman" w:eastAsia="Calibri" w:hAnsi="Times New Roman" w:cs="Times New Roman"/>
                <w:b/>
                <w:sz w:val="20"/>
                <w:szCs w:val="20"/>
              </w:rPr>
            </w:pPr>
            <w:r w:rsidRPr="00BB01E1">
              <w:rPr>
                <w:rFonts w:ascii="Times New Roman" w:eastAsia="Calibri" w:hAnsi="Times New Roman" w:cs="Times New Roman"/>
                <w:b/>
                <w:sz w:val="20"/>
                <w:szCs w:val="20"/>
              </w:rPr>
              <w:t>Illustrative questions</w:t>
            </w:r>
          </w:p>
        </w:tc>
      </w:tr>
      <w:tr w:rsidR="00BB01E1" w:rsidRPr="00BB01E1" w14:paraId="28CCEE0E" w14:textId="77777777" w:rsidTr="009C2115">
        <w:trPr>
          <w:trHeight w:val="1450"/>
          <w:jc w:val="center"/>
        </w:trPr>
        <w:tc>
          <w:tcPr>
            <w:tcW w:w="3652" w:type="dxa"/>
          </w:tcPr>
          <w:p w14:paraId="28CCEDF9" w14:textId="77777777" w:rsidR="00BB01E1" w:rsidRPr="00BB01E1" w:rsidRDefault="00BB01E1" w:rsidP="00BB01E1">
            <w:pPr>
              <w:rPr>
                <w:rFonts w:ascii="Times New Roman" w:eastAsia="Calibri" w:hAnsi="Times New Roman" w:cs="Times New Roman"/>
                <w:sz w:val="20"/>
                <w:szCs w:val="20"/>
              </w:rPr>
            </w:pPr>
            <w:r w:rsidRPr="00BB01E1">
              <w:rPr>
                <w:rFonts w:ascii="Times New Roman" w:eastAsia="Calibri" w:hAnsi="Times New Roman" w:cs="Times New Roman"/>
                <w:sz w:val="20"/>
                <w:szCs w:val="20"/>
              </w:rPr>
              <w:t xml:space="preserve">Can you please provide </w:t>
            </w:r>
            <w:r w:rsidR="00D648F4">
              <w:rPr>
                <w:rFonts w:ascii="Times New Roman" w:eastAsia="Calibri" w:hAnsi="Times New Roman" w:cs="Times New Roman"/>
                <w:sz w:val="20"/>
                <w:szCs w:val="20"/>
              </w:rPr>
              <w:t>us</w:t>
            </w:r>
            <w:r w:rsidRPr="00BB01E1">
              <w:rPr>
                <w:rFonts w:ascii="Times New Roman" w:eastAsia="Calibri" w:hAnsi="Times New Roman" w:cs="Times New Roman"/>
                <w:sz w:val="20"/>
                <w:szCs w:val="20"/>
              </w:rPr>
              <w:t xml:space="preserve"> with some detailed </w:t>
            </w:r>
            <w:r w:rsidR="00D648F4">
              <w:rPr>
                <w:rFonts w:ascii="Times New Roman" w:eastAsia="Calibri" w:hAnsi="Times New Roman" w:cs="Times New Roman"/>
                <w:sz w:val="20"/>
                <w:szCs w:val="20"/>
              </w:rPr>
              <w:t>information</w:t>
            </w:r>
            <w:r w:rsidRPr="00BB01E1">
              <w:rPr>
                <w:rFonts w:ascii="Times New Roman" w:eastAsia="Calibri" w:hAnsi="Times New Roman" w:cs="Times New Roman"/>
                <w:sz w:val="20"/>
                <w:szCs w:val="20"/>
              </w:rPr>
              <w:t xml:space="preserve"> about government policies that have been implemented on maize in recent years? </w:t>
            </w:r>
          </w:p>
          <w:p w14:paraId="28CCEDFA" w14:textId="77777777" w:rsidR="00BB01E1" w:rsidRDefault="00BB01E1" w:rsidP="00BB01E1">
            <w:pPr>
              <w:rPr>
                <w:rFonts w:ascii="Times New Roman" w:eastAsia="Calibri" w:hAnsi="Times New Roman" w:cs="Times New Roman"/>
                <w:sz w:val="20"/>
                <w:szCs w:val="20"/>
              </w:rPr>
            </w:pPr>
          </w:p>
          <w:p w14:paraId="28CCEDFB" w14:textId="77777777" w:rsidR="00BB01E1" w:rsidRPr="00BB01E1" w:rsidRDefault="00BB01E1" w:rsidP="00BB01E1">
            <w:pPr>
              <w:rPr>
                <w:rFonts w:ascii="Times New Roman" w:eastAsia="Calibri" w:hAnsi="Times New Roman" w:cs="Times New Roman"/>
                <w:sz w:val="20"/>
                <w:szCs w:val="20"/>
              </w:rPr>
            </w:pPr>
          </w:p>
        </w:tc>
        <w:tc>
          <w:tcPr>
            <w:tcW w:w="8313" w:type="dxa"/>
          </w:tcPr>
          <w:p w14:paraId="28CCEDFC" w14:textId="77777777" w:rsidR="005259D8" w:rsidRPr="005259D8" w:rsidRDefault="005259D8" w:rsidP="00BB01E1">
            <w:pPr>
              <w:pStyle w:val="ListParagraph"/>
              <w:numPr>
                <w:ilvl w:val="0"/>
                <w:numId w:val="3"/>
              </w:numPr>
              <w:rPr>
                <w:rFonts w:ascii="Times New Roman" w:hAnsi="Times New Roman" w:cs="Times New Roman"/>
                <w:sz w:val="20"/>
                <w:szCs w:val="24"/>
              </w:rPr>
            </w:pPr>
            <w:r>
              <w:rPr>
                <w:rFonts w:ascii="Times New Roman" w:eastAsia="Calibri" w:hAnsi="Times New Roman" w:cs="Times New Roman"/>
                <w:sz w:val="20"/>
                <w:szCs w:val="20"/>
              </w:rPr>
              <w:t xml:space="preserve">What does </w:t>
            </w:r>
            <w:r w:rsidRPr="00BB01E1">
              <w:rPr>
                <w:rFonts w:ascii="Times New Roman" w:eastAsia="Calibri" w:hAnsi="Times New Roman" w:cs="Times New Roman"/>
                <w:sz w:val="20"/>
                <w:szCs w:val="20"/>
              </w:rPr>
              <w:t>each policy entail?</w:t>
            </w:r>
          </w:p>
          <w:p w14:paraId="28CCEDFD" w14:textId="77777777" w:rsidR="00BB01E1" w:rsidRPr="00BB01E1" w:rsidRDefault="00BB01E1" w:rsidP="00BB01E1">
            <w:pPr>
              <w:pStyle w:val="ListParagraph"/>
              <w:numPr>
                <w:ilvl w:val="0"/>
                <w:numId w:val="3"/>
              </w:numPr>
              <w:rPr>
                <w:rFonts w:ascii="Times New Roman" w:hAnsi="Times New Roman" w:cs="Times New Roman"/>
                <w:sz w:val="20"/>
                <w:szCs w:val="24"/>
              </w:rPr>
            </w:pPr>
            <w:r w:rsidRPr="00BB01E1">
              <w:rPr>
                <w:rFonts w:ascii="Times New Roman" w:hAnsi="Times New Roman" w:cs="Times New Roman"/>
                <w:sz w:val="20"/>
                <w:szCs w:val="24"/>
              </w:rPr>
              <w:t>What are the objectives of these maize policies?</w:t>
            </w:r>
          </w:p>
          <w:p w14:paraId="28CCEDFE" w14:textId="77777777" w:rsidR="00BB01E1" w:rsidRPr="00BB01E1" w:rsidRDefault="00BB01E1" w:rsidP="00BB01E1">
            <w:pPr>
              <w:pStyle w:val="ListParagraph"/>
              <w:numPr>
                <w:ilvl w:val="0"/>
                <w:numId w:val="3"/>
              </w:numPr>
              <w:rPr>
                <w:rFonts w:ascii="Times New Roman" w:hAnsi="Times New Roman" w:cs="Times New Roman"/>
                <w:sz w:val="20"/>
                <w:szCs w:val="24"/>
              </w:rPr>
            </w:pPr>
            <w:r w:rsidRPr="00BB01E1">
              <w:rPr>
                <w:rFonts w:ascii="Times New Roman" w:hAnsi="Times New Roman" w:cs="Times New Roman"/>
                <w:sz w:val="20"/>
                <w:szCs w:val="24"/>
              </w:rPr>
              <w:t xml:space="preserve">Who were the main actors </w:t>
            </w:r>
            <w:r w:rsidRPr="00BB01E1">
              <w:rPr>
                <w:rFonts w:ascii="Times New Roman" w:hAnsi="Times New Roman" w:cs="Times New Roman"/>
                <w:noProof/>
                <w:sz w:val="20"/>
                <w:szCs w:val="24"/>
              </w:rPr>
              <w:t>during</w:t>
            </w:r>
            <w:r w:rsidRPr="00BB01E1">
              <w:rPr>
                <w:rFonts w:ascii="Times New Roman" w:hAnsi="Times New Roman" w:cs="Times New Roman"/>
                <w:sz w:val="20"/>
                <w:szCs w:val="24"/>
              </w:rPr>
              <w:t xml:space="preserve"> the adoption and implementation of these policies?</w:t>
            </w:r>
          </w:p>
          <w:p w14:paraId="28CCEDFF" w14:textId="77777777" w:rsidR="00BB01E1" w:rsidRPr="00BB01E1" w:rsidRDefault="00BB01E1" w:rsidP="00BB01E1">
            <w:pPr>
              <w:pStyle w:val="ListParagraph"/>
              <w:numPr>
                <w:ilvl w:val="0"/>
                <w:numId w:val="3"/>
              </w:numPr>
              <w:rPr>
                <w:rFonts w:ascii="Times New Roman" w:hAnsi="Times New Roman" w:cs="Times New Roman"/>
                <w:sz w:val="20"/>
                <w:szCs w:val="24"/>
              </w:rPr>
            </w:pPr>
            <w:r w:rsidRPr="00BB01E1">
              <w:rPr>
                <w:rFonts w:ascii="Times New Roman" w:hAnsi="Times New Roman" w:cs="Times New Roman"/>
                <w:sz w:val="20"/>
                <w:szCs w:val="24"/>
              </w:rPr>
              <w:t>From your experience, what challenges did you face during the adoption and implementation of these policies?</w:t>
            </w:r>
          </w:p>
          <w:p w14:paraId="28CCEE00" w14:textId="77777777" w:rsidR="00BB01E1" w:rsidRPr="00BB01E1" w:rsidRDefault="00BB01E1" w:rsidP="00BB01E1">
            <w:pPr>
              <w:pStyle w:val="ListParagraph"/>
              <w:numPr>
                <w:ilvl w:val="0"/>
                <w:numId w:val="3"/>
              </w:numPr>
              <w:rPr>
                <w:rFonts w:ascii="Times New Roman" w:hAnsi="Times New Roman" w:cs="Times New Roman"/>
                <w:sz w:val="20"/>
                <w:szCs w:val="24"/>
              </w:rPr>
            </w:pPr>
            <w:r w:rsidRPr="00BB01E1">
              <w:rPr>
                <w:rFonts w:ascii="Times New Roman" w:hAnsi="Times New Roman" w:cs="Times New Roman"/>
                <w:sz w:val="20"/>
                <w:szCs w:val="24"/>
              </w:rPr>
              <w:t>How were these challenges addressed by the government?</w:t>
            </w:r>
          </w:p>
          <w:p w14:paraId="28CCEE01" w14:textId="77777777" w:rsidR="00BB01E1" w:rsidRPr="00BB01E1" w:rsidRDefault="00BB01E1" w:rsidP="00BB01E1">
            <w:pPr>
              <w:pStyle w:val="ListParagraph"/>
              <w:numPr>
                <w:ilvl w:val="0"/>
                <w:numId w:val="3"/>
              </w:numPr>
              <w:rPr>
                <w:rFonts w:ascii="Times New Roman" w:hAnsi="Times New Roman" w:cs="Times New Roman"/>
                <w:sz w:val="20"/>
                <w:szCs w:val="24"/>
              </w:rPr>
            </w:pPr>
            <w:r w:rsidRPr="00BB01E1">
              <w:rPr>
                <w:rFonts w:ascii="Times New Roman" w:hAnsi="Times New Roman" w:cs="Times New Roman"/>
                <w:sz w:val="20"/>
                <w:szCs w:val="24"/>
              </w:rPr>
              <w:t>What are the benefits you derived from these policies?</w:t>
            </w:r>
          </w:p>
          <w:p w14:paraId="28CCEE02" w14:textId="77777777" w:rsidR="00BB01E1" w:rsidRPr="00BB01E1" w:rsidRDefault="00BB01E1" w:rsidP="00BB01E1">
            <w:pPr>
              <w:pStyle w:val="ListParagraph"/>
              <w:numPr>
                <w:ilvl w:val="0"/>
                <w:numId w:val="3"/>
              </w:numPr>
              <w:rPr>
                <w:rFonts w:ascii="Times New Roman" w:hAnsi="Times New Roman" w:cs="Times New Roman"/>
                <w:sz w:val="20"/>
                <w:szCs w:val="24"/>
              </w:rPr>
            </w:pPr>
            <w:r w:rsidRPr="00BB01E1">
              <w:rPr>
                <w:rFonts w:ascii="Times New Roman" w:hAnsi="Times New Roman" w:cs="Times New Roman"/>
                <w:sz w:val="20"/>
                <w:szCs w:val="24"/>
              </w:rPr>
              <w:t>How will you rate each of these policies?</w:t>
            </w:r>
          </w:p>
          <w:p w14:paraId="28CCEE03" w14:textId="77777777" w:rsidR="00BB01E1" w:rsidRDefault="00BB01E1" w:rsidP="00BB01E1">
            <w:pPr>
              <w:pStyle w:val="ListParagraph"/>
              <w:numPr>
                <w:ilvl w:val="0"/>
                <w:numId w:val="3"/>
              </w:numPr>
              <w:rPr>
                <w:rFonts w:ascii="Times New Roman" w:hAnsi="Times New Roman" w:cs="Times New Roman"/>
                <w:sz w:val="20"/>
                <w:szCs w:val="24"/>
              </w:rPr>
            </w:pPr>
            <w:r w:rsidRPr="00BB01E1">
              <w:rPr>
                <w:rFonts w:ascii="Times New Roman" w:hAnsi="Times New Roman" w:cs="Times New Roman"/>
                <w:sz w:val="20"/>
                <w:szCs w:val="24"/>
              </w:rPr>
              <w:t>What policies would you like to be scrapped and why?</w:t>
            </w:r>
          </w:p>
          <w:p w14:paraId="28CCEE04" w14:textId="77777777" w:rsidR="00BB01E1" w:rsidRPr="00BB01E1" w:rsidRDefault="00BB01E1" w:rsidP="00BB01E1">
            <w:pPr>
              <w:pStyle w:val="ListParagraph"/>
              <w:numPr>
                <w:ilvl w:val="0"/>
                <w:numId w:val="3"/>
              </w:numPr>
              <w:rPr>
                <w:rFonts w:ascii="Times New Roman" w:hAnsi="Times New Roman" w:cs="Times New Roman"/>
                <w:sz w:val="20"/>
                <w:szCs w:val="24"/>
              </w:rPr>
            </w:pPr>
            <w:r w:rsidRPr="00BB01E1">
              <w:rPr>
                <w:rFonts w:ascii="Times New Roman" w:hAnsi="Times New Roman" w:cs="Times New Roman"/>
                <w:sz w:val="20"/>
                <w:szCs w:val="24"/>
              </w:rPr>
              <w:t xml:space="preserve">What </w:t>
            </w:r>
            <w:r w:rsidR="00D648F4">
              <w:rPr>
                <w:rFonts w:ascii="Times New Roman" w:hAnsi="Times New Roman" w:cs="Times New Roman"/>
                <w:sz w:val="20"/>
                <w:szCs w:val="24"/>
              </w:rPr>
              <w:t xml:space="preserve">other </w:t>
            </w:r>
            <w:r w:rsidRPr="00BB01E1">
              <w:rPr>
                <w:rFonts w:ascii="Times New Roman" w:hAnsi="Times New Roman" w:cs="Times New Roman"/>
                <w:sz w:val="20"/>
                <w:szCs w:val="24"/>
              </w:rPr>
              <w:t>policies would you like to have?</w:t>
            </w:r>
          </w:p>
        </w:tc>
        <w:tc>
          <w:tcPr>
            <w:tcW w:w="3118" w:type="dxa"/>
            <w:vMerge w:val="restart"/>
            <w:vAlign w:val="center"/>
          </w:tcPr>
          <w:p w14:paraId="28CCEE05" w14:textId="77777777" w:rsidR="00BB01E1" w:rsidRPr="00BB01E1" w:rsidRDefault="00BB01E1" w:rsidP="00BB01E1">
            <w:pPr>
              <w:numPr>
                <w:ilvl w:val="0"/>
                <w:numId w:val="3"/>
              </w:numPr>
              <w:contextualSpacing/>
              <w:jc w:val="both"/>
              <w:rPr>
                <w:rFonts w:ascii="Times New Roman" w:eastAsia="Calibri" w:hAnsi="Times New Roman" w:cs="Times New Roman"/>
                <w:sz w:val="20"/>
                <w:szCs w:val="20"/>
                <w:lang w:val="en-GB"/>
              </w:rPr>
            </w:pPr>
            <w:r w:rsidRPr="00BB01E1">
              <w:rPr>
                <w:rFonts w:ascii="Times New Roman" w:eastAsia="Calibri" w:hAnsi="Times New Roman" w:cs="Times New Roman"/>
                <w:sz w:val="20"/>
                <w:szCs w:val="20"/>
                <w:lang w:val="en-GB"/>
              </w:rPr>
              <w:t>Do you feel the same?</w:t>
            </w:r>
          </w:p>
          <w:p w14:paraId="28CCEE06" w14:textId="77777777" w:rsidR="00BB01E1" w:rsidRPr="00BB01E1" w:rsidRDefault="00BB01E1" w:rsidP="00BB01E1">
            <w:pPr>
              <w:ind w:left="360"/>
              <w:contextualSpacing/>
              <w:jc w:val="both"/>
              <w:rPr>
                <w:rFonts w:ascii="Times New Roman" w:eastAsia="Calibri" w:hAnsi="Times New Roman" w:cs="Times New Roman"/>
                <w:sz w:val="20"/>
                <w:szCs w:val="20"/>
                <w:lang w:val="en-GB"/>
              </w:rPr>
            </w:pPr>
          </w:p>
          <w:p w14:paraId="28CCEE07" w14:textId="77777777" w:rsidR="00BB01E1" w:rsidRPr="00BB01E1" w:rsidRDefault="00BB01E1" w:rsidP="00BB01E1">
            <w:pPr>
              <w:numPr>
                <w:ilvl w:val="0"/>
                <w:numId w:val="3"/>
              </w:numPr>
              <w:contextualSpacing/>
              <w:jc w:val="both"/>
              <w:rPr>
                <w:rFonts w:ascii="Times New Roman" w:eastAsia="Calibri" w:hAnsi="Times New Roman" w:cs="Times New Roman"/>
                <w:sz w:val="20"/>
                <w:szCs w:val="20"/>
                <w:lang w:val="en-GB"/>
              </w:rPr>
            </w:pPr>
            <w:r w:rsidRPr="00BB01E1">
              <w:rPr>
                <w:rFonts w:ascii="Times New Roman" w:eastAsia="Calibri" w:hAnsi="Times New Roman" w:cs="Times New Roman"/>
                <w:sz w:val="20"/>
                <w:szCs w:val="20"/>
                <w:lang w:val="en-GB"/>
              </w:rPr>
              <w:t>Can you tell us anything else apart from the one already discussed?</w:t>
            </w:r>
          </w:p>
          <w:p w14:paraId="28CCEE08" w14:textId="77777777" w:rsidR="00BB01E1" w:rsidRPr="00BB01E1" w:rsidRDefault="00BB01E1" w:rsidP="00BB01E1">
            <w:pPr>
              <w:ind w:left="360"/>
              <w:contextualSpacing/>
              <w:jc w:val="both"/>
              <w:rPr>
                <w:rFonts w:ascii="Times New Roman" w:eastAsia="Calibri" w:hAnsi="Times New Roman" w:cs="Times New Roman"/>
                <w:sz w:val="20"/>
                <w:szCs w:val="20"/>
                <w:lang w:val="en-GB"/>
              </w:rPr>
            </w:pPr>
          </w:p>
          <w:p w14:paraId="28CCEE09" w14:textId="77777777" w:rsidR="00BB01E1" w:rsidRPr="00BB01E1" w:rsidRDefault="00BB01E1" w:rsidP="00BB01E1">
            <w:pPr>
              <w:numPr>
                <w:ilvl w:val="0"/>
                <w:numId w:val="3"/>
              </w:numPr>
              <w:contextualSpacing/>
              <w:jc w:val="both"/>
              <w:rPr>
                <w:rFonts w:ascii="Times New Roman" w:eastAsia="Calibri" w:hAnsi="Times New Roman" w:cs="Times New Roman"/>
                <w:sz w:val="20"/>
                <w:szCs w:val="20"/>
                <w:lang w:val="en-GB"/>
              </w:rPr>
            </w:pPr>
            <w:r w:rsidRPr="00BB01E1">
              <w:rPr>
                <w:rFonts w:ascii="Times New Roman" w:eastAsia="Calibri" w:hAnsi="Times New Roman" w:cs="Times New Roman"/>
                <w:sz w:val="20"/>
                <w:szCs w:val="20"/>
                <w:lang w:val="en-GB"/>
              </w:rPr>
              <w:t>What do you think about this?</w:t>
            </w:r>
          </w:p>
          <w:p w14:paraId="28CCEE0A" w14:textId="77777777" w:rsidR="00BB01E1" w:rsidRPr="00BB01E1" w:rsidRDefault="00BB01E1" w:rsidP="00BB01E1">
            <w:pPr>
              <w:jc w:val="both"/>
              <w:rPr>
                <w:rFonts w:ascii="Times New Roman" w:eastAsia="Calibri" w:hAnsi="Times New Roman" w:cs="Times New Roman"/>
                <w:sz w:val="20"/>
                <w:szCs w:val="20"/>
                <w:lang w:val="en-GB"/>
              </w:rPr>
            </w:pPr>
          </w:p>
          <w:p w14:paraId="28CCEE0B" w14:textId="77777777" w:rsidR="00BB01E1" w:rsidRPr="00BB01E1" w:rsidRDefault="00BB01E1" w:rsidP="00BB01E1">
            <w:pPr>
              <w:numPr>
                <w:ilvl w:val="0"/>
                <w:numId w:val="3"/>
              </w:numPr>
              <w:contextualSpacing/>
              <w:jc w:val="both"/>
              <w:rPr>
                <w:rFonts w:ascii="Times New Roman" w:eastAsia="Calibri" w:hAnsi="Times New Roman" w:cs="Times New Roman"/>
                <w:sz w:val="20"/>
                <w:szCs w:val="20"/>
                <w:lang w:val="en-GB"/>
              </w:rPr>
            </w:pPr>
            <w:r w:rsidRPr="00BB01E1">
              <w:rPr>
                <w:rFonts w:ascii="Times New Roman" w:eastAsia="Calibri" w:hAnsi="Times New Roman" w:cs="Times New Roman"/>
                <w:sz w:val="20"/>
                <w:szCs w:val="20"/>
                <w:lang w:val="en-GB"/>
              </w:rPr>
              <w:t>Can you clarify this further?</w:t>
            </w:r>
          </w:p>
          <w:p w14:paraId="28CCEE0C" w14:textId="77777777" w:rsidR="00BB01E1" w:rsidRPr="00BB01E1" w:rsidRDefault="00BB01E1" w:rsidP="00BB01E1">
            <w:pPr>
              <w:ind w:left="360"/>
              <w:contextualSpacing/>
              <w:jc w:val="both"/>
              <w:rPr>
                <w:rFonts w:ascii="Times New Roman" w:eastAsia="Calibri" w:hAnsi="Times New Roman" w:cs="Times New Roman"/>
                <w:sz w:val="20"/>
                <w:szCs w:val="20"/>
                <w:lang w:val="en-GB"/>
              </w:rPr>
            </w:pPr>
          </w:p>
          <w:p w14:paraId="28CCEE0D" w14:textId="77777777" w:rsidR="00BB01E1" w:rsidRPr="00BB01E1" w:rsidRDefault="00BB01E1" w:rsidP="00BB01E1">
            <w:pPr>
              <w:numPr>
                <w:ilvl w:val="0"/>
                <w:numId w:val="3"/>
              </w:numPr>
              <w:contextualSpacing/>
              <w:jc w:val="both"/>
              <w:rPr>
                <w:rFonts w:ascii="Times New Roman" w:eastAsia="Calibri" w:hAnsi="Times New Roman" w:cs="Times New Roman"/>
                <w:sz w:val="20"/>
                <w:szCs w:val="20"/>
              </w:rPr>
            </w:pPr>
            <w:r w:rsidRPr="00BB01E1">
              <w:rPr>
                <w:rFonts w:ascii="Times New Roman" w:eastAsia="Calibri" w:hAnsi="Times New Roman" w:cs="Times New Roman"/>
                <w:sz w:val="20"/>
                <w:szCs w:val="20"/>
                <w:lang w:val="en-GB"/>
              </w:rPr>
              <w:t>Can you provide some examples of this?</w:t>
            </w:r>
          </w:p>
        </w:tc>
      </w:tr>
      <w:tr w:rsidR="00BB01E1" w:rsidRPr="00BB01E1" w14:paraId="28CCEE19" w14:textId="77777777" w:rsidTr="009C2115">
        <w:trPr>
          <w:trHeight w:val="339"/>
          <w:jc w:val="center"/>
        </w:trPr>
        <w:tc>
          <w:tcPr>
            <w:tcW w:w="3652" w:type="dxa"/>
          </w:tcPr>
          <w:p w14:paraId="28CCEE0F" w14:textId="77777777" w:rsidR="00BB01E1" w:rsidRPr="00BB01E1" w:rsidRDefault="00D648F4" w:rsidP="00BB01E1">
            <w:pPr>
              <w:rPr>
                <w:rFonts w:ascii="Times New Roman" w:eastAsia="Calibri" w:hAnsi="Times New Roman" w:cs="Times New Roman"/>
                <w:sz w:val="20"/>
                <w:szCs w:val="20"/>
              </w:rPr>
            </w:pPr>
            <w:r>
              <w:rPr>
                <w:rFonts w:ascii="Times New Roman" w:eastAsia="Calibri" w:hAnsi="Times New Roman" w:cs="Times New Roman"/>
                <w:sz w:val="20"/>
                <w:szCs w:val="20"/>
              </w:rPr>
              <w:t>Focusing on the Growth Enhancement Support Scheme (GESS) could provide us with details of what this policy</w:t>
            </w:r>
            <w:r w:rsidR="00BB01E1" w:rsidRPr="00BB01E1">
              <w:rPr>
                <w:rFonts w:ascii="Times New Roman" w:eastAsia="Calibri" w:hAnsi="Times New Roman" w:cs="Times New Roman"/>
                <w:sz w:val="20"/>
                <w:szCs w:val="20"/>
              </w:rPr>
              <w:t xml:space="preserve"> </w:t>
            </w:r>
            <w:r>
              <w:rPr>
                <w:rFonts w:ascii="Times New Roman" w:eastAsia="Calibri" w:hAnsi="Times New Roman" w:cs="Times New Roman"/>
                <w:sz w:val="20"/>
                <w:szCs w:val="20"/>
              </w:rPr>
              <w:t>entails</w:t>
            </w:r>
            <w:r w:rsidR="005044C1">
              <w:rPr>
                <w:rFonts w:ascii="Times New Roman" w:eastAsia="Calibri" w:hAnsi="Times New Roman" w:cs="Times New Roman"/>
                <w:sz w:val="20"/>
                <w:szCs w:val="20"/>
              </w:rPr>
              <w:t>.</w:t>
            </w:r>
          </w:p>
        </w:tc>
        <w:tc>
          <w:tcPr>
            <w:tcW w:w="8313" w:type="dxa"/>
          </w:tcPr>
          <w:p w14:paraId="28CCEE10" w14:textId="77777777" w:rsidR="00D648F4" w:rsidRPr="00D648F4" w:rsidRDefault="00D648F4" w:rsidP="00D648F4">
            <w:pPr>
              <w:numPr>
                <w:ilvl w:val="0"/>
                <w:numId w:val="3"/>
              </w:numPr>
              <w:contextualSpacing/>
              <w:jc w:val="both"/>
              <w:rPr>
                <w:rFonts w:ascii="Times New Roman" w:eastAsia="Calibri" w:hAnsi="Times New Roman" w:cs="Times New Roman"/>
                <w:sz w:val="20"/>
                <w:szCs w:val="20"/>
              </w:rPr>
            </w:pPr>
            <w:r w:rsidRPr="00D648F4">
              <w:rPr>
                <w:rFonts w:ascii="Times New Roman" w:eastAsia="Calibri" w:hAnsi="Times New Roman" w:cs="Times New Roman"/>
                <w:sz w:val="20"/>
                <w:szCs w:val="20"/>
              </w:rPr>
              <w:t xml:space="preserve">Can you tell </w:t>
            </w:r>
            <w:r>
              <w:rPr>
                <w:rFonts w:ascii="Times New Roman" w:eastAsia="Calibri" w:hAnsi="Times New Roman" w:cs="Times New Roman"/>
                <w:sz w:val="20"/>
                <w:szCs w:val="20"/>
              </w:rPr>
              <w:t>us</w:t>
            </w:r>
            <w:r w:rsidRPr="00D648F4">
              <w:rPr>
                <w:rFonts w:ascii="Times New Roman" w:eastAsia="Calibri" w:hAnsi="Times New Roman" w:cs="Times New Roman"/>
                <w:sz w:val="20"/>
                <w:szCs w:val="20"/>
              </w:rPr>
              <w:t xml:space="preserve"> </w:t>
            </w:r>
            <w:r>
              <w:rPr>
                <w:rFonts w:ascii="Times New Roman" w:eastAsia="Calibri" w:hAnsi="Times New Roman" w:cs="Times New Roman"/>
                <w:sz w:val="20"/>
                <w:szCs w:val="20"/>
              </w:rPr>
              <w:t xml:space="preserve">how this </w:t>
            </w:r>
            <w:r w:rsidRPr="00D648F4">
              <w:rPr>
                <w:rFonts w:ascii="Times New Roman" w:eastAsia="Calibri" w:hAnsi="Times New Roman" w:cs="Times New Roman"/>
                <w:sz w:val="20"/>
                <w:szCs w:val="20"/>
              </w:rPr>
              <w:t>polic</w:t>
            </w:r>
            <w:r>
              <w:rPr>
                <w:rFonts w:ascii="Times New Roman" w:eastAsia="Calibri" w:hAnsi="Times New Roman" w:cs="Times New Roman"/>
                <w:sz w:val="20"/>
                <w:szCs w:val="20"/>
              </w:rPr>
              <w:t>y</w:t>
            </w:r>
            <w:r w:rsidRPr="00D648F4">
              <w:rPr>
                <w:rFonts w:ascii="Times New Roman" w:eastAsia="Calibri" w:hAnsi="Times New Roman" w:cs="Times New Roman"/>
                <w:sz w:val="20"/>
                <w:szCs w:val="20"/>
              </w:rPr>
              <w:t xml:space="preserve"> </w:t>
            </w:r>
            <w:r>
              <w:rPr>
                <w:rFonts w:ascii="Times New Roman" w:eastAsia="Calibri" w:hAnsi="Times New Roman" w:cs="Times New Roman"/>
                <w:sz w:val="20"/>
                <w:szCs w:val="20"/>
              </w:rPr>
              <w:t xml:space="preserve">was </w:t>
            </w:r>
            <w:r w:rsidRPr="00D648F4">
              <w:rPr>
                <w:rFonts w:ascii="Times New Roman" w:eastAsia="Calibri" w:hAnsi="Times New Roman" w:cs="Times New Roman"/>
                <w:sz w:val="20"/>
                <w:szCs w:val="20"/>
              </w:rPr>
              <w:t>implemented to support the maize sector?</w:t>
            </w:r>
          </w:p>
          <w:p w14:paraId="28CCEE11" w14:textId="77777777" w:rsidR="00D648F4" w:rsidRDefault="00D648F4" w:rsidP="00D648F4">
            <w:pPr>
              <w:numPr>
                <w:ilvl w:val="0"/>
                <w:numId w:val="3"/>
              </w:numPr>
              <w:contextualSpacing/>
              <w:jc w:val="both"/>
              <w:rPr>
                <w:rFonts w:ascii="Times New Roman" w:eastAsia="Calibri" w:hAnsi="Times New Roman" w:cs="Times New Roman"/>
                <w:sz w:val="20"/>
                <w:szCs w:val="20"/>
              </w:rPr>
            </w:pPr>
            <w:r w:rsidRPr="00D648F4">
              <w:rPr>
                <w:rFonts w:ascii="Times New Roman" w:eastAsia="Calibri" w:hAnsi="Times New Roman" w:cs="Times New Roman"/>
                <w:sz w:val="20"/>
                <w:szCs w:val="20"/>
              </w:rPr>
              <w:t xml:space="preserve">What does </w:t>
            </w:r>
            <w:r>
              <w:rPr>
                <w:rFonts w:ascii="Times New Roman" w:eastAsia="Calibri" w:hAnsi="Times New Roman" w:cs="Times New Roman"/>
                <w:sz w:val="20"/>
                <w:szCs w:val="20"/>
              </w:rPr>
              <w:t>this program</w:t>
            </w:r>
            <w:r w:rsidRPr="00D648F4">
              <w:rPr>
                <w:rFonts w:ascii="Times New Roman" w:eastAsia="Calibri" w:hAnsi="Times New Roman" w:cs="Times New Roman"/>
                <w:sz w:val="20"/>
                <w:szCs w:val="20"/>
              </w:rPr>
              <w:t xml:space="preserve"> entail?</w:t>
            </w:r>
          </w:p>
          <w:p w14:paraId="28CCEE12" w14:textId="77777777" w:rsidR="00FA56A5" w:rsidRPr="00FA56A5" w:rsidRDefault="00FA56A5" w:rsidP="00FA56A5">
            <w:pPr>
              <w:numPr>
                <w:ilvl w:val="0"/>
                <w:numId w:val="3"/>
              </w:numPr>
              <w:contextualSpacing/>
              <w:jc w:val="both"/>
              <w:rPr>
                <w:rFonts w:ascii="Times New Roman" w:eastAsia="Calibri" w:hAnsi="Times New Roman" w:cs="Times New Roman"/>
                <w:sz w:val="20"/>
                <w:szCs w:val="20"/>
              </w:rPr>
            </w:pPr>
            <w:r w:rsidRPr="00FA56A5">
              <w:rPr>
                <w:rFonts w:ascii="Times New Roman" w:eastAsia="Calibri" w:hAnsi="Times New Roman" w:cs="Times New Roman"/>
                <w:sz w:val="20"/>
                <w:szCs w:val="20"/>
              </w:rPr>
              <w:t>What are the objectives of these maize policies?</w:t>
            </w:r>
          </w:p>
          <w:p w14:paraId="28CCEE13" w14:textId="77777777" w:rsidR="00FA56A5" w:rsidRPr="00FA56A5" w:rsidRDefault="00FA56A5" w:rsidP="00FA56A5">
            <w:pPr>
              <w:numPr>
                <w:ilvl w:val="0"/>
                <w:numId w:val="3"/>
              </w:numPr>
              <w:contextualSpacing/>
              <w:jc w:val="both"/>
              <w:rPr>
                <w:rFonts w:ascii="Times New Roman" w:eastAsia="Calibri" w:hAnsi="Times New Roman" w:cs="Times New Roman"/>
                <w:sz w:val="20"/>
                <w:szCs w:val="20"/>
              </w:rPr>
            </w:pPr>
            <w:r w:rsidRPr="00FA56A5">
              <w:rPr>
                <w:rFonts w:ascii="Times New Roman" w:eastAsia="Calibri" w:hAnsi="Times New Roman" w:cs="Times New Roman"/>
                <w:sz w:val="20"/>
                <w:szCs w:val="20"/>
              </w:rPr>
              <w:t xml:space="preserve">To what </w:t>
            </w:r>
            <w:r>
              <w:rPr>
                <w:rFonts w:ascii="Times New Roman" w:eastAsia="Calibri" w:hAnsi="Times New Roman" w:cs="Times New Roman"/>
                <w:sz w:val="20"/>
                <w:szCs w:val="20"/>
              </w:rPr>
              <w:t xml:space="preserve">extent were the </w:t>
            </w:r>
            <w:r w:rsidRPr="00FA56A5">
              <w:rPr>
                <w:rFonts w:ascii="Times New Roman" w:eastAsia="Calibri" w:hAnsi="Times New Roman" w:cs="Times New Roman"/>
                <w:sz w:val="20"/>
                <w:szCs w:val="20"/>
              </w:rPr>
              <w:t>pre</w:t>
            </w:r>
            <w:r>
              <w:rPr>
                <w:rFonts w:ascii="Times New Roman" w:eastAsia="Calibri" w:hAnsi="Times New Roman" w:cs="Times New Roman"/>
                <w:sz w:val="20"/>
                <w:szCs w:val="20"/>
              </w:rPr>
              <w:t>-</w:t>
            </w:r>
            <w:r w:rsidRPr="00FA56A5">
              <w:rPr>
                <w:rFonts w:ascii="Times New Roman" w:eastAsia="Calibri" w:hAnsi="Times New Roman" w:cs="Times New Roman"/>
                <w:sz w:val="20"/>
                <w:szCs w:val="20"/>
              </w:rPr>
              <w:t xml:space="preserve">stated objectives </w:t>
            </w:r>
            <w:r>
              <w:rPr>
                <w:rFonts w:ascii="Times New Roman" w:eastAsia="Calibri" w:hAnsi="Times New Roman" w:cs="Times New Roman"/>
                <w:sz w:val="20"/>
                <w:szCs w:val="20"/>
              </w:rPr>
              <w:t>achieved</w:t>
            </w:r>
            <w:r w:rsidRPr="00FA56A5">
              <w:rPr>
                <w:rFonts w:ascii="Times New Roman" w:eastAsia="Calibri" w:hAnsi="Times New Roman" w:cs="Times New Roman"/>
                <w:sz w:val="20"/>
                <w:szCs w:val="20"/>
              </w:rPr>
              <w:t>?</w:t>
            </w:r>
          </w:p>
          <w:p w14:paraId="28CCEE14" w14:textId="77777777" w:rsidR="00FA56A5" w:rsidRPr="00FA56A5" w:rsidRDefault="00FA56A5" w:rsidP="00FA56A5">
            <w:pPr>
              <w:numPr>
                <w:ilvl w:val="0"/>
                <w:numId w:val="3"/>
              </w:numPr>
              <w:contextualSpacing/>
              <w:jc w:val="both"/>
              <w:rPr>
                <w:rFonts w:ascii="Times New Roman" w:eastAsia="Calibri" w:hAnsi="Times New Roman" w:cs="Times New Roman"/>
                <w:sz w:val="20"/>
                <w:szCs w:val="20"/>
              </w:rPr>
            </w:pPr>
            <w:r w:rsidRPr="00FA56A5">
              <w:rPr>
                <w:rFonts w:ascii="Times New Roman" w:eastAsia="Calibri" w:hAnsi="Times New Roman" w:cs="Times New Roman"/>
                <w:sz w:val="20"/>
                <w:szCs w:val="20"/>
              </w:rPr>
              <w:t xml:space="preserve">To what extent </w:t>
            </w:r>
            <w:r w:rsidR="00F967F4">
              <w:rPr>
                <w:rFonts w:ascii="Times New Roman" w:eastAsia="Calibri" w:hAnsi="Times New Roman" w:cs="Times New Roman"/>
                <w:sz w:val="20"/>
                <w:szCs w:val="20"/>
              </w:rPr>
              <w:t xml:space="preserve">were </w:t>
            </w:r>
            <w:r w:rsidRPr="00FA56A5">
              <w:rPr>
                <w:rFonts w:ascii="Times New Roman" w:eastAsia="Calibri" w:hAnsi="Times New Roman" w:cs="Times New Roman"/>
                <w:sz w:val="20"/>
                <w:szCs w:val="20"/>
              </w:rPr>
              <w:t>the</w:t>
            </w:r>
            <w:r w:rsidR="00F967F4">
              <w:rPr>
                <w:rFonts w:ascii="Times New Roman" w:eastAsia="Calibri" w:hAnsi="Times New Roman" w:cs="Times New Roman"/>
                <w:sz w:val="20"/>
                <w:szCs w:val="20"/>
              </w:rPr>
              <w:t xml:space="preserve"> procedures</w:t>
            </w:r>
            <w:r w:rsidRPr="00FA56A5">
              <w:rPr>
                <w:rFonts w:ascii="Times New Roman" w:eastAsia="Calibri" w:hAnsi="Times New Roman" w:cs="Times New Roman"/>
                <w:sz w:val="20"/>
                <w:szCs w:val="20"/>
              </w:rPr>
              <w:t xml:space="preserve"> complied with?</w:t>
            </w:r>
          </w:p>
          <w:p w14:paraId="28CCEE15" w14:textId="77777777" w:rsidR="00FA56A5" w:rsidRPr="00FA56A5" w:rsidRDefault="00FA56A5" w:rsidP="00FA56A5">
            <w:pPr>
              <w:numPr>
                <w:ilvl w:val="0"/>
                <w:numId w:val="3"/>
              </w:numPr>
              <w:contextualSpacing/>
              <w:jc w:val="both"/>
              <w:rPr>
                <w:rFonts w:ascii="Times New Roman" w:eastAsia="Calibri" w:hAnsi="Times New Roman" w:cs="Times New Roman"/>
                <w:sz w:val="20"/>
                <w:szCs w:val="20"/>
              </w:rPr>
            </w:pPr>
            <w:r w:rsidRPr="00FA56A5">
              <w:rPr>
                <w:rFonts w:ascii="Times New Roman" w:eastAsia="Calibri" w:hAnsi="Times New Roman" w:cs="Times New Roman"/>
                <w:sz w:val="20"/>
                <w:szCs w:val="20"/>
              </w:rPr>
              <w:t>What are the supporting structures/guidelines employed to attain compliance?</w:t>
            </w:r>
          </w:p>
          <w:p w14:paraId="28CCEE16" w14:textId="77777777" w:rsidR="00D648F4" w:rsidRPr="00D648F4" w:rsidRDefault="00D648F4" w:rsidP="00D648F4">
            <w:pPr>
              <w:numPr>
                <w:ilvl w:val="0"/>
                <w:numId w:val="3"/>
              </w:numPr>
              <w:contextualSpacing/>
              <w:jc w:val="both"/>
              <w:rPr>
                <w:rFonts w:ascii="Times New Roman" w:eastAsia="Calibri" w:hAnsi="Times New Roman" w:cs="Times New Roman"/>
                <w:sz w:val="20"/>
                <w:szCs w:val="20"/>
              </w:rPr>
            </w:pPr>
            <w:r w:rsidRPr="00D648F4">
              <w:rPr>
                <w:rFonts w:ascii="Times New Roman" w:eastAsia="Calibri" w:hAnsi="Times New Roman" w:cs="Times New Roman"/>
                <w:sz w:val="20"/>
                <w:szCs w:val="20"/>
              </w:rPr>
              <w:t>From your experience, what are the strengths and challenges of th</w:t>
            </w:r>
            <w:r>
              <w:rPr>
                <w:rFonts w:ascii="Times New Roman" w:eastAsia="Calibri" w:hAnsi="Times New Roman" w:cs="Times New Roman"/>
                <w:sz w:val="20"/>
                <w:szCs w:val="20"/>
              </w:rPr>
              <w:t>is</w:t>
            </w:r>
            <w:r w:rsidRPr="00D648F4">
              <w:rPr>
                <w:rFonts w:ascii="Times New Roman" w:eastAsia="Calibri" w:hAnsi="Times New Roman" w:cs="Times New Roman"/>
                <w:sz w:val="20"/>
                <w:szCs w:val="20"/>
              </w:rPr>
              <w:t xml:space="preserve"> polic</w:t>
            </w:r>
            <w:r>
              <w:rPr>
                <w:rFonts w:ascii="Times New Roman" w:eastAsia="Calibri" w:hAnsi="Times New Roman" w:cs="Times New Roman"/>
                <w:sz w:val="20"/>
                <w:szCs w:val="20"/>
              </w:rPr>
              <w:t>y</w:t>
            </w:r>
            <w:r w:rsidRPr="00D648F4">
              <w:rPr>
                <w:rFonts w:ascii="Times New Roman" w:eastAsia="Calibri" w:hAnsi="Times New Roman" w:cs="Times New Roman"/>
                <w:sz w:val="20"/>
                <w:szCs w:val="20"/>
              </w:rPr>
              <w:t xml:space="preserve"> vis-à-vis maize </w:t>
            </w:r>
            <w:r>
              <w:rPr>
                <w:rFonts w:ascii="Times New Roman" w:eastAsia="Calibri" w:hAnsi="Times New Roman" w:cs="Times New Roman"/>
                <w:sz w:val="20"/>
                <w:szCs w:val="20"/>
              </w:rPr>
              <w:t xml:space="preserve">production and support for </w:t>
            </w:r>
            <w:r w:rsidRPr="00D648F4">
              <w:rPr>
                <w:rFonts w:ascii="Times New Roman" w:eastAsia="Calibri" w:hAnsi="Times New Roman" w:cs="Times New Roman"/>
                <w:sz w:val="20"/>
                <w:szCs w:val="20"/>
              </w:rPr>
              <w:t>econom</w:t>
            </w:r>
            <w:r w:rsidR="00FA56A5">
              <w:rPr>
                <w:rFonts w:ascii="Times New Roman" w:eastAsia="Calibri" w:hAnsi="Times New Roman" w:cs="Times New Roman"/>
                <w:sz w:val="20"/>
                <w:szCs w:val="20"/>
              </w:rPr>
              <w:t>ic</w:t>
            </w:r>
            <w:r w:rsidRPr="00D648F4">
              <w:rPr>
                <w:rFonts w:ascii="Times New Roman" w:eastAsia="Calibri" w:hAnsi="Times New Roman" w:cs="Times New Roman"/>
                <w:sz w:val="20"/>
                <w:szCs w:val="20"/>
              </w:rPr>
              <w:t xml:space="preserve"> growth in the country?</w:t>
            </w:r>
          </w:p>
          <w:p w14:paraId="28CCEE17" w14:textId="77777777" w:rsidR="00BB01E1" w:rsidRPr="00D648F4" w:rsidRDefault="00D648F4" w:rsidP="00D648F4">
            <w:pPr>
              <w:numPr>
                <w:ilvl w:val="0"/>
                <w:numId w:val="3"/>
              </w:numPr>
              <w:contextualSpacing/>
              <w:jc w:val="both"/>
              <w:rPr>
                <w:rFonts w:ascii="Times New Roman" w:eastAsia="Calibri" w:hAnsi="Times New Roman" w:cs="Times New Roman"/>
                <w:sz w:val="20"/>
                <w:szCs w:val="20"/>
              </w:rPr>
            </w:pPr>
            <w:r w:rsidRPr="00D648F4">
              <w:rPr>
                <w:rFonts w:ascii="Times New Roman" w:eastAsia="Calibri" w:hAnsi="Times New Roman" w:cs="Times New Roman"/>
                <w:sz w:val="20"/>
                <w:szCs w:val="20"/>
              </w:rPr>
              <w:t>What improvements should be made to th</w:t>
            </w:r>
            <w:r w:rsidR="00FA56A5">
              <w:rPr>
                <w:rFonts w:ascii="Times New Roman" w:eastAsia="Calibri" w:hAnsi="Times New Roman" w:cs="Times New Roman"/>
                <w:sz w:val="20"/>
                <w:szCs w:val="20"/>
              </w:rPr>
              <w:t>is</w:t>
            </w:r>
            <w:r w:rsidRPr="00D648F4">
              <w:rPr>
                <w:rFonts w:ascii="Times New Roman" w:eastAsia="Calibri" w:hAnsi="Times New Roman" w:cs="Times New Roman"/>
                <w:sz w:val="20"/>
                <w:szCs w:val="20"/>
              </w:rPr>
              <w:t xml:space="preserve"> polic</w:t>
            </w:r>
            <w:r w:rsidR="00FA56A5">
              <w:rPr>
                <w:rFonts w:ascii="Times New Roman" w:eastAsia="Calibri" w:hAnsi="Times New Roman" w:cs="Times New Roman"/>
                <w:sz w:val="20"/>
                <w:szCs w:val="20"/>
              </w:rPr>
              <w:t>y</w:t>
            </w:r>
            <w:r w:rsidRPr="00D648F4">
              <w:rPr>
                <w:rFonts w:ascii="Times New Roman" w:eastAsia="Calibri" w:hAnsi="Times New Roman" w:cs="Times New Roman"/>
                <w:sz w:val="20"/>
                <w:szCs w:val="20"/>
              </w:rPr>
              <w:t>?</w:t>
            </w:r>
          </w:p>
        </w:tc>
        <w:tc>
          <w:tcPr>
            <w:tcW w:w="3118" w:type="dxa"/>
            <w:vMerge/>
          </w:tcPr>
          <w:p w14:paraId="28CCEE18" w14:textId="77777777" w:rsidR="00BB01E1" w:rsidRPr="00BB01E1" w:rsidRDefault="00BB01E1" w:rsidP="00BB01E1">
            <w:pPr>
              <w:numPr>
                <w:ilvl w:val="0"/>
                <w:numId w:val="3"/>
              </w:numPr>
              <w:contextualSpacing/>
              <w:jc w:val="both"/>
              <w:rPr>
                <w:rFonts w:ascii="Times New Roman" w:eastAsia="Calibri" w:hAnsi="Times New Roman" w:cs="Times New Roman"/>
                <w:sz w:val="20"/>
                <w:szCs w:val="20"/>
              </w:rPr>
            </w:pPr>
          </w:p>
        </w:tc>
      </w:tr>
      <w:tr w:rsidR="00FA56A5" w:rsidRPr="00BB01E1" w14:paraId="28CCEE1C" w14:textId="77777777" w:rsidTr="009C2115">
        <w:trPr>
          <w:trHeight w:val="339"/>
          <w:jc w:val="center"/>
        </w:trPr>
        <w:tc>
          <w:tcPr>
            <w:tcW w:w="11965" w:type="dxa"/>
            <w:gridSpan w:val="2"/>
            <w:vAlign w:val="center"/>
          </w:tcPr>
          <w:p w14:paraId="28CCEE1A" w14:textId="46E99666" w:rsidR="00FA56A5" w:rsidRPr="00FA56A5" w:rsidRDefault="00FA56A5" w:rsidP="00FA56A5">
            <w:pPr>
              <w:ind w:left="360"/>
              <w:contextualSpacing/>
              <w:jc w:val="center"/>
              <w:rPr>
                <w:rFonts w:ascii="Times New Roman" w:eastAsia="Calibri" w:hAnsi="Times New Roman" w:cs="Times New Roman"/>
                <w:b/>
                <w:sz w:val="20"/>
                <w:szCs w:val="20"/>
              </w:rPr>
            </w:pPr>
            <w:r w:rsidRPr="00FA56A5">
              <w:rPr>
                <w:rFonts w:ascii="Times New Roman" w:eastAsia="Calibri" w:hAnsi="Times New Roman" w:cs="Times New Roman"/>
                <w:b/>
                <w:sz w:val="20"/>
                <w:szCs w:val="20"/>
              </w:rPr>
              <w:t>Implement the Process</w:t>
            </w:r>
            <w:r w:rsidR="00582658">
              <w:rPr>
                <w:rFonts w:ascii="Times New Roman" w:eastAsia="Calibri" w:hAnsi="Times New Roman" w:cs="Times New Roman"/>
                <w:b/>
                <w:sz w:val="20"/>
                <w:szCs w:val="20"/>
              </w:rPr>
              <w:t xml:space="preserve"> </w:t>
            </w:r>
            <w:r w:rsidRPr="00FA56A5">
              <w:rPr>
                <w:rFonts w:ascii="Times New Roman" w:eastAsia="Calibri" w:hAnsi="Times New Roman" w:cs="Times New Roman"/>
                <w:b/>
                <w:sz w:val="20"/>
                <w:szCs w:val="20"/>
              </w:rPr>
              <w:t>Net</w:t>
            </w:r>
            <w:r w:rsidR="00582658">
              <w:rPr>
                <w:rFonts w:ascii="Times New Roman" w:eastAsia="Calibri" w:hAnsi="Times New Roman" w:cs="Times New Roman"/>
                <w:b/>
                <w:sz w:val="20"/>
                <w:szCs w:val="20"/>
              </w:rPr>
              <w:t>-</w:t>
            </w:r>
            <w:r w:rsidRPr="00FA56A5">
              <w:rPr>
                <w:rFonts w:ascii="Times New Roman" w:eastAsia="Calibri" w:hAnsi="Times New Roman" w:cs="Times New Roman"/>
                <w:b/>
                <w:sz w:val="20"/>
                <w:szCs w:val="20"/>
              </w:rPr>
              <w:t>Map procedures from here</w:t>
            </w:r>
          </w:p>
        </w:tc>
        <w:tc>
          <w:tcPr>
            <w:tcW w:w="3118" w:type="dxa"/>
            <w:vMerge/>
          </w:tcPr>
          <w:p w14:paraId="28CCEE1B" w14:textId="77777777" w:rsidR="00FA56A5" w:rsidRPr="00BB01E1" w:rsidRDefault="00FA56A5" w:rsidP="00BB01E1">
            <w:pPr>
              <w:numPr>
                <w:ilvl w:val="0"/>
                <w:numId w:val="3"/>
              </w:numPr>
              <w:contextualSpacing/>
              <w:jc w:val="both"/>
              <w:rPr>
                <w:rFonts w:ascii="Times New Roman" w:eastAsia="Calibri" w:hAnsi="Times New Roman" w:cs="Times New Roman"/>
                <w:sz w:val="20"/>
                <w:szCs w:val="20"/>
              </w:rPr>
            </w:pPr>
          </w:p>
        </w:tc>
      </w:tr>
      <w:tr w:rsidR="00BB01E1" w:rsidRPr="00BB01E1" w14:paraId="28CCEE2B" w14:textId="77777777" w:rsidTr="009C2115">
        <w:trPr>
          <w:trHeight w:val="314"/>
          <w:jc w:val="center"/>
        </w:trPr>
        <w:tc>
          <w:tcPr>
            <w:tcW w:w="3652" w:type="dxa"/>
          </w:tcPr>
          <w:p w14:paraId="28CCEE1D" w14:textId="77777777" w:rsidR="00BB01E1" w:rsidRDefault="00FA56A5" w:rsidP="00BB01E1">
            <w:pPr>
              <w:rPr>
                <w:rFonts w:ascii="Times New Roman" w:eastAsia="Times New Roman" w:hAnsi="Times New Roman" w:cs="Times New Roman"/>
                <w:sz w:val="20"/>
                <w:szCs w:val="20"/>
              </w:rPr>
            </w:pPr>
            <w:r>
              <w:rPr>
                <w:rFonts w:ascii="Times New Roman" w:eastAsia="Times New Roman" w:hAnsi="Times New Roman" w:cs="Times New Roman"/>
                <w:sz w:val="20"/>
                <w:szCs w:val="20"/>
              </w:rPr>
              <w:t>How was the e-wallet GESS implemented in Nigeria?</w:t>
            </w:r>
            <w:r w:rsidR="00BB01E1" w:rsidRPr="00BB01E1">
              <w:rPr>
                <w:rFonts w:ascii="Times New Roman" w:eastAsia="Times New Roman" w:hAnsi="Times New Roman" w:cs="Times New Roman"/>
                <w:sz w:val="20"/>
                <w:szCs w:val="20"/>
              </w:rPr>
              <w:t xml:space="preserve"> </w:t>
            </w:r>
          </w:p>
          <w:p w14:paraId="28CCEE1E" w14:textId="77777777" w:rsidR="00F967F4" w:rsidRDefault="00F967F4" w:rsidP="00BB01E1">
            <w:pPr>
              <w:rPr>
                <w:rFonts w:ascii="Times New Roman" w:eastAsia="Calibri" w:hAnsi="Times New Roman" w:cs="Times New Roman"/>
                <w:sz w:val="20"/>
                <w:szCs w:val="20"/>
              </w:rPr>
            </w:pPr>
          </w:p>
          <w:p w14:paraId="28CCEE1F" w14:textId="3D5D265B" w:rsidR="00F967F4" w:rsidRPr="00BB01E1" w:rsidRDefault="00F967F4" w:rsidP="00BB01E1">
            <w:pPr>
              <w:rPr>
                <w:rFonts w:ascii="Times New Roman" w:eastAsia="Calibri" w:hAnsi="Times New Roman" w:cs="Times New Roman"/>
                <w:sz w:val="20"/>
                <w:szCs w:val="20"/>
              </w:rPr>
            </w:pPr>
            <w:r w:rsidRPr="00BB01E1">
              <w:rPr>
                <w:rFonts w:ascii="Times New Roman" w:eastAsia="Calibri" w:hAnsi="Times New Roman" w:cs="Times New Roman"/>
                <w:b/>
                <w:i/>
                <w:sz w:val="20"/>
                <w:szCs w:val="20"/>
                <w:u w:val="single"/>
              </w:rPr>
              <w:t xml:space="preserve">Responses should be depicted on the cardboard provided, based on the </w:t>
            </w:r>
            <w:r>
              <w:rPr>
                <w:rFonts w:ascii="Times New Roman" w:eastAsia="Calibri" w:hAnsi="Times New Roman" w:cs="Times New Roman"/>
                <w:b/>
                <w:i/>
                <w:sz w:val="20"/>
                <w:szCs w:val="20"/>
                <w:u w:val="single"/>
              </w:rPr>
              <w:t xml:space="preserve">Process </w:t>
            </w:r>
            <w:r w:rsidR="000306CD">
              <w:rPr>
                <w:rFonts w:ascii="Times New Roman" w:eastAsia="Calibri" w:hAnsi="Times New Roman" w:cs="Times New Roman"/>
                <w:b/>
                <w:i/>
                <w:sz w:val="20"/>
                <w:szCs w:val="20"/>
                <w:u w:val="single"/>
              </w:rPr>
              <w:t>N</w:t>
            </w:r>
            <w:r w:rsidR="000306CD" w:rsidRPr="00BB01E1">
              <w:rPr>
                <w:rFonts w:ascii="Times New Roman" w:eastAsia="Calibri" w:hAnsi="Times New Roman" w:cs="Times New Roman"/>
                <w:b/>
                <w:i/>
                <w:sz w:val="20"/>
                <w:szCs w:val="20"/>
                <w:u w:val="single"/>
              </w:rPr>
              <w:t xml:space="preserve">et-Map </w:t>
            </w:r>
            <w:r w:rsidRPr="00BB01E1">
              <w:rPr>
                <w:rFonts w:ascii="Times New Roman" w:eastAsia="Calibri" w:hAnsi="Times New Roman" w:cs="Times New Roman"/>
                <w:b/>
                <w:i/>
                <w:sz w:val="20"/>
                <w:szCs w:val="20"/>
                <w:u w:val="single"/>
              </w:rPr>
              <w:t>procedure described</w:t>
            </w:r>
            <w:r w:rsidR="005259D8">
              <w:rPr>
                <w:rFonts w:ascii="Times New Roman" w:eastAsia="Calibri" w:hAnsi="Times New Roman" w:cs="Times New Roman"/>
                <w:b/>
                <w:i/>
                <w:sz w:val="20"/>
                <w:szCs w:val="20"/>
                <w:u w:val="single"/>
              </w:rPr>
              <w:t xml:space="preserve"> below</w:t>
            </w:r>
            <w:r w:rsidRPr="00BB01E1">
              <w:rPr>
                <w:rFonts w:ascii="Times New Roman" w:eastAsia="Calibri" w:hAnsi="Times New Roman" w:cs="Times New Roman"/>
                <w:b/>
                <w:i/>
                <w:sz w:val="20"/>
                <w:szCs w:val="20"/>
                <w:u w:val="single"/>
              </w:rPr>
              <w:t>!</w:t>
            </w:r>
          </w:p>
        </w:tc>
        <w:tc>
          <w:tcPr>
            <w:tcW w:w="8313" w:type="dxa"/>
          </w:tcPr>
          <w:p w14:paraId="28CCEE20" w14:textId="77777777" w:rsidR="00FA56A5" w:rsidRDefault="00FA56A5" w:rsidP="00FA56A5">
            <w:pPr>
              <w:pStyle w:val="ListParagraph"/>
              <w:numPr>
                <w:ilvl w:val="0"/>
                <w:numId w:val="3"/>
              </w:numPr>
              <w:rPr>
                <w:rFonts w:ascii="Times New Roman" w:eastAsia="Calibri" w:hAnsi="Times New Roman" w:cs="Times New Roman"/>
                <w:sz w:val="20"/>
                <w:szCs w:val="20"/>
              </w:rPr>
            </w:pPr>
            <w:r>
              <w:rPr>
                <w:rFonts w:ascii="Times New Roman" w:eastAsia="Calibri" w:hAnsi="Times New Roman" w:cs="Times New Roman"/>
                <w:sz w:val="20"/>
                <w:szCs w:val="20"/>
              </w:rPr>
              <w:t xml:space="preserve">What steps are involved in the implementation of the Nigerian e-wallet </w:t>
            </w:r>
            <w:proofErr w:type="spellStart"/>
            <w:r>
              <w:rPr>
                <w:rFonts w:ascii="Times New Roman" w:eastAsia="Calibri" w:hAnsi="Times New Roman" w:cs="Times New Roman"/>
                <w:sz w:val="20"/>
                <w:szCs w:val="20"/>
              </w:rPr>
              <w:t>programme</w:t>
            </w:r>
            <w:proofErr w:type="spellEnd"/>
            <w:r>
              <w:rPr>
                <w:rFonts w:ascii="Times New Roman" w:eastAsia="Calibri" w:hAnsi="Times New Roman" w:cs="Times New Roman"/>
                <w:sz w:val="20"/>
                <w:szCs w:val="20"/>
              </w:rPr>
              <w:t>?</w:t>
            </w:r>
          </w:p>
          <w:p w14:paraId="28CCEE21" w14:textId="77777777" w:rsidR="00FA56A5" w:rsidRDefault="00FA56A5" w:rsidP="00FA56A5">
            <w:pPr>
              <w:pStyle w:val="ListParagraph"/>
              <w:numPr>
                <w:ilvl w:val="0"/>
                <w:numId w:val="3"/>
              </w:numPr>
              <w:rPr>
                <w:rFonts w:ascii="Times New Roman" w:eastAsia="Calibri" w:hAnsi="Times New Roman" w:cs="Times New Roman"/>
                <w:sz w:val="20"/>
                <w:szCs w:val="20"/>
              </w:rPr>
            </w:pPr>
            <w:r w:rsidRPr="00FA56A5">
              <w:rPr>
                <w:rFonts w:ascii="Times New Roman" w:eastAsia="Calibri" w:hAnsi="Times New Roman" w:cs="Times New Roman"/>
                <w:sz w:val="20"/>
                <w:szCs w:val="20"/>
              </w:rPr>
              <w:t xml:space="preserve">Who were the main actors during the </w:t>
            </w:r>
            <w:r>
              <w:rPr>
                <w:rFonts w:ascii="Times New Roman" w:eastAsia="Calibri" w:hAnsi="Times New Roman" w:cs="Times New Roman"/>
                <w:sz w:val="20"/>
                <w:szCs w:val="20"/>
              </w:rPr>
              <w:t xml:space="preserve">design </w:t>
            </w:r>
            <w:r w:rsidRPr="00FA56A5">
              <w:rPr>
                <w:rFonts w:ascii="Times New Roman" w:eastAsia="Calibri" w:hAnsi="Times New Roman" w:cs="Times New Roman"/>
                <w:sz w:val="20"/>
                <w:szCs w:val="20"/>
              </w:rPr>
              <w:t>and implementation of th</w:t>
            </w:r>
            <w:r>
              <w:rPr>
                <w:rFonts w:ascii="Times New Roman" w:eastAsia="Calibri" w:hAnsi="Times New Roman" w:cs="Times New Roman"/>
                <w:sz w:val="20"/>
                <w:szCs w:val="20"/>
              </w:rPr>
              <w:t xml:space="preserve">is </w:t>
            </w:r>
            <w:proofErr w:type="spellStart"/>
            <w:r>
              <w:rPr>
                <w:rFonts w:ascii="Times New Roman" w:eastAsia="Calibri" w:hAnsi="Times New Roman" w:cs="Times New Roman"/>
                <w:sz w:val="20"/>
                <w:szCs w:val="20"/>
              </w:rPr>
              <w:t>programme</w:t>
            </w:r>
            <w:proofErr w:type="spellEnd"/>
            <w:r w:rsidRPr="00FA56A5">
              <w:rPr>
                <w:rFonts w:ascii="Times New Roman" w:eastAsia="Calibri" w:hAnsi="Times New Roman" w:cs="Times New Roman"/>
                <w:sz w:val="20"/>
                <w:szCs w:val="20"/>
              </w:rPr>
              <w:t>?</w:t>
            </w:r>
          </w:p>
          <w:p w14:paraId="28CCEE22" w14:textId="77777777" w:rsidR="00FA56A5" w:rsidRPr="00FA56A5" w:rsidRDefault="00FA56A5" w:rsidP="00FA56A5">
            <w:pPr>
              <w:pStyle w:val="ListParagraph"/>
              <w:numPr>
                <w:ilvl w:val="0"/>
                <w:numId w:val="3"/>
              </w:numPr>
              <w:rPr>
                <w:rFonts w:ascii="Times New Roman" w:eastAsia="Calibri" w:hAnsi="Times New Roman" w:cs="Times New Roman"/>
                <w:sz w:val="20"/>
                <w:szCs w:val="20"/>
              </w:rPr>
            </w:pPr>
            <w:r>
              <w:rPr>
                <w:rFonts w:ascii="Times New Roman" w:eastAsia="Calibri" w:hAnsi="Times New Roman" w:cs="Times New Roman"/>
                <w:sz w:val="20"/>
                <w:szCs w:val="20"/>
              </w:rPr>
              <w:t xml:space="preserve">What were their roles and location in the </w:t>
            </w:r>
            <w:proofErr w:type="spellStart"/>
            <w:r>
              <w:rPr>
                <w:rFonts w:ascii="Times New Roman" w:eastAsia="Calibri" w:hAnsi="Times New Roman" w:cs="Times New Roman"/>
                <w:sz w:val="20"/>
                <w:szCs w:val="20"/>
              </w:rPr>
              <w:t>programme</w:t>
            </w:r>
            <w:proofErr w:type="spellEnd"/>
            <w:r>
              <w:rPr>
                <w:rFonts w:ascii="Times New Roman" w:eastAsia="Calibri" w:hAnsi="Times New Roman" w:cs="Times New Roman"/>
                <w:sz w:val="20"/>
                <w:szCs w:val="20"/>
              </w:rPr>
              <w:t>?</w:t>
            </w:r>
          </w:p>
          <w:p w14:paraId="28CCEE23" w14:textId="77777777" w:rsidR="005259D8" w:rsidRPr="005259D8" w:rsidRDefault="005259D8" w:rsidP="005259D8">
            <w:pPr>
              <w:numPr>
                <w:ilvl w:val="0"/>
                <w:numId w:val="3"/>
              </w:numPr>
              <w:contextualSpacing/>
              <w:jc w:val="both"/>
              <w:rPr>
                <w:rFonts w:ascii="Times New Roman" w:eastAsia="Times New Roman" w:hAnsi="Times New Roman" w:cs="Times New Roman"/>
                <w:sz w:val="20"/>
                <w:szCs w:val="20"/>
              </w:rPr>
            </w:pPr>
            <w:r w:rsidRPr="005259D8">
              <w:rPr>
                <w:rFonts w:ascii="Times New Roman" w:eastAsia="Times New Roman" w:hAnsi="Times New Roman" w:cs="Times New Roman"/>
                <w:sz w:val="20"/>
                <w:szCs w:val="20"/>
              </w:rPr>
              <w:t>What institutional strengths exist among these stakeholders/institutions that contribute</w:t>
            </w:r>
            <w:r>
              <w:rPr>
                <w:rFonts w:ascii="Times New Roman" w:eastAsia="Times New Roman" w:hAnsi="Times New Roman" w:cs="Times New Roman"/>
                <w:sz w:val="20"/>
                <w:szCs w:val="20"/>
              </w:rPr>
              <w:t>d</w:t>
            </w:r>
            <w:r w:rsidRPr="005259D8">
              <w:rPr>
                <w:rFonts w:ascii="Times New Roman" w:eastAsia="Times New Roman" w:hAnsi="Times New Roman" w:cs="Times New Roman"/>
                <w:sz w:val="20"/>
                <w:szCs w:val="20"/>
              </w:rPr>
              <w:t xml:space="preserve"> to the </w:t>
            </w:r>
            <w:r>
              <w:rPr>
                <w:rFonts w:ascii="Times New Roman" w:eastAsia="Times New Roman" w:hAnsi="Times New Roman" w:cs="Times New Roman"/>
                <w:sz w:val="20"/>
                <w:szCs w:val="20"/>
              </w:rPr>
              <w:t xml:space="preserve">successful implementation of the </w:t>
            </w:r>
            <w:proofErr w:type="spellStart"/>
            <w:r>
              <w:rPr>
                <w:rFonts w:ascii="Times New Roman" w:eastAsia="Times New Roman" w:hAnsi="Times New Roman" w:cs="Times New Roman"/>
                <w:sz w:val="20"/>
                <w:szCs w:val="20"/>
              </w:rPr>
              <w:t>programme</w:t>
            </w:r>
            <w:proofErr w:type="spellEnd"/>
            <w:r w:rsidRPr="005259D8">
              <w:rPr>
                <w:rFonts w:ascii="Times New Roman" w:eastAsia="Times New Roman" w:hAnsi="Times New Roman" w:cs="Times New Roman"/>
                <w:sz w:val="20"/>
                <w:szCs w:val="20"/>
              </w:rPr>
              <w:t>?</w:t>
            </w:r>
          </w:p>
          <w:p w14:paraId="28CCEE24" w14:textId="77777777" w:rsidR="005259D8" w:rsidRPr="005259D8" w:rsidRDefault="005259D8" w:rsidP="005259D8">
            <w:pPr>
              <w:numPr>
                <w:ilvl w:val="0"/>
                <w:numId w:val="3"/>
              </w:numPr>
              <w:contextualSpacing/>
              <w:jc w:val="both"/>
              <w:rPr>
                <w:rFonts w:ascii="Times New Roman" w:eastAsia="Times New Roman" w:hAnsi="Times New Roman" w:cs="Times New Roman"/>
                <w:sz w:val="20"/>
                <w:szCs w:val="20"/>
              </w:rPr>
            </w:pPr>
            <w:r w:rsidRPr="005259D8">
              <w:rPr>
                <w:rFonts w:ascii="Times New Roman" w:eastAsia="Times New Roman" w:hAnsi="Times New Roman" w:cs="Times New Roman"/>
                <w:sz w:val="20"/>
                <w:szCs w:val="20"/>
              </w:rPr>
              <w:t>What are the forms of tension or conflict that exist among these stakeholders/institutions?</w:t>
            </w:r>
          </w:p>
          <w:p w14:paraId="28CCEE25" w14:textId="77777777" w:rsidR="00BB01E1" w:rsidRPr="005259D8" w:rsidRDefault="00F967F4" w:rsidP="005259D8">
            <w:pPr>
              <w:numPr>
                <w:ilvl w:val="0"/>
                <w:numId w:val="3"/>
              </w:numPr>
              <w:contextualSpacing/>
              <w:jc w:val="both"/>
              <w:rPr>
                <w:rFonts w:ascii="Times New Roman" w:eastAsia="Calibri" w:hAnsi="Times New Roman" w:cs="Times New Roman"/>
                <w:sz w:val="20"/>
                <w:szCs w:val="20"/>
              </w:rPr>
            </w:pPr>
            <w:r w:rsidRPr="005259D8">
              <w:rPr>
                <w:rFonts w:ascii="Times New Roman" w:eastAsia="Calibri" w:hAnsi="Times New Roman" w:cs="Times New Roman"/>
                <w:sz w:val="20"/>
                <w:szCs w:val="20"/>
              </w:rPr>
              <w:t xml:space="preserve">What are the possible complementarities </w:t>
            </w:r>
            <w:r w:rsidR="005259D8">
              <w:rPr>
                <w:rFonts w:ascii="Times New Roman" w:eastAsia="Calibri" w:hAnsi="Times New Roman" w:cs="Times New Roman"/>
                <w:sz w:val="20"/>
                <w:szCs w:val="20"/>
              </w:rPr>
              <w:t xml:space="preserve">that exist </w:t>
            </w:r>
            <w:r w:rsidRPr="005259D8">
              <w:rPr>
                <w:rFonts w:ascii="Times New Roman" w:eastAsia="Calibri" w:hAnsi="Times New Roman" w:cs="Times New Roman"/>
                <w:sz w:val="20"/>
                <w:szCs w:val="20"/>
              </w:rPr>
              <w:t>among these actors/stakeholders?</w:t>
            </w:r>
          </w:p>
          <w:p w14:paraId="28CCEE26" w14:textId="77777777" w:rsidR="00F967F4" w:rsidRDefault="00F967F4" w:rsidP="00F967F4">
            <w:pPr>
              <w:numPr>
                <w:ilvl w:val="0"/>
                <w:numId w:val="3"/>
              </w:numPr>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Which actors/stakeholders </w:t>
            </w:r>
            <w:r w:rsidR="005259D8">
              <w:rPr>
                <w:rFonts w:ascii="Times New Roman" w:eastAsia="Calibri" w:hAnsi="Times New Roman" w:cs="Times New Roman"/>
                <w:sz w:val="20"/>
                <w:szCs w:val="20"/>
              </w:rPr>
              <w:t>were</w:t>
            </w:r>
            <w:r>
              <w:rPr>
                <w:rFonts w:ascii="Times New Roman" w:eastAsia="Calibri" w:hAnsi="Times New Roman" w:cs="Times New Roman"/>
                <w:sz w:val="20"/>
                <w:szCs w:val="20"/>
              </w:rPr>
              <w:t xml:space="preserve"> most influential in the successful implementation of the </w:t>
            </w:r>
            <w:proofErr w:type="spellStart"/>
            <w:r>
              <w:rPr>
                <w:rFonts w:ascii="Times New Roman" w:eastAsia="Calibri" w:hAnsi="Times New Roman" w:cs="Times New Roman"/>
                <w:sz w:val="20"/>
                <w:szCs w:val="20"/>
              </w:rPr>
              <w:t>programme</w:t>
            </w:r>
            <w:proofErr w:type="spellEnd"/>
            <w:r w:rsidR="005259D8">
              <w:rPr>
                <w:rFonts w:ascii="Times New Roman" w:eastAsia="Calibri" w:hAnsi="Times New Roman" w:cs="Times New Roman"/>
                <w:sz w:val="20"/>
                <w:szCs w:val="20"/>
              </w:rPr>
              <w:t xml:space="preserve"> (Rank them)</w:t>
            </w:r>
            <w:r>
              <w:rPr>
                <w:rFonts w:ascii="Times New Roman" w:eastAsia="Calibri" w:hAnsi="Times New Roman" w:cs="Times New Roman"/>
                <w:sz w:val="20"/>
                <w:szCs w:val="20"/>
              </w:rPr>
              <w:t>?</w:t>
            </w:r>
          </w:p>
          <w:p w14:paraId="28CCEE27" w14:textId="77777777" w:rsidR="00F967F4" w:rsidRDefault="00F967F4" w:rsidP="00F967F4">
            <w:pPr>
              <w:numPr>
                <w:ilvl w:val="0"/>
                <w:numId w:val="3"/>
              </w:numPr>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Which actors/stakeholders </w:t>
            </w:r>
            <w:r w:rsidR="005259D8">
              <w:rPr>
                <w:rFonts w:ascii="Times New Roman" w:eastAsia="Calibri" w:hAnsi="Times New Roman" w:cs="Times New Roman"/>
                <w:sz w:val="20"/>
                <w:szCs w:val="20"/>
              </w:rPr>
              <w:t>were</w:t>
            </w:r>
            <w:r>
              <w:rPr>
                <w:rFonts w:ascii="Times New Roman" w:eastAsia="Calibri" w:hAnsi="Times New Roman" w:cs="Times New Roman"/>
                <w:sz w:val="20"/>
                <w:szCs w:val="20"/>
              </w:rPr>
              <w:t xml:space="preserve"> most influential </w:t>
            </w:r>
            <w:r w:rsidR="006967EC">
              <w:rPr>
                <w:rFonts w:ascii="Times New Roman" w:eastAsia="Calibri" w:hAnsi="Times New Roman" w:cs="Times New Roman"/>
                <w:sz w:val="20"/>
                <w:szCs w:val="20"/>
              </w:rPr>
              <w:t>in</w:t>
            </w:r>
            <w:r>
              <w:rPr>
                <w:rFonts w:ascii="Times New Roman" w:eastAsia="Calibri" w:hAnsi="Times New Roman" w:cs="Times New Roman"/>
                <w:sz w:val="20"/>
                <w:szCs w:val="20"/>
              </w:rPr>
              <w:t xml:space="preserve"> </w:t>
            </w:r>
            <w:r w:rsidR="009C2115">
              <w:rPr>
                <w:rFonts w:ascii="Times New Roman" w:eastAsia="Calibri" w:hAnsi="Times New Roman" w:cs="Times New Roman"/>
                <w:sz w:val="20"/>
                <w:szCs w:val="20"/>
              </w:rPr>
              <w:t>ensuring the effective design and implementation</w:t>
            </w:r>
            <w:r>
              <w:rPr>
                <w:rFonts w:ascii="Times New Roman" w:eastAsia="Calibri" w:hAnsi="Times New Roman" w:cs="Times New Roman"/>
                <w:sz w:val="20"/>
                <w:szCs w:val="20"/>
              </w:rPr>
              <w:t xml:space="preserve"> of </w:t>
            </w:r>
            <w:r w:rsidR="006967EC">
              <w:rPr>
                <w:rFonts w:ascii="Times New Roman" w:eastAsia="Calibri" w:hAnsi="Times New Roman" w:cs="Times New Roman"/>
                <w:sz w:val="20"/>
                <w:szCs w:val="20"/>
              </w:rPr>
              <w:t xml:space="preserve">the </w:t>
            </w:r>
            <w:proofErr w:type="spellStart"/>
            <w:r>
              <w:rPr>
                <w:rFonts w:ascii="Times New Roman" w:eastAsia="Calibri" w:hAnsi="Times New Roman" w:cs="Times New Roman"/>
                <w:sz w:val="20"/>
                <w:szCs w:val="20"/>
              </w:rPr>
              <w:t>programme</w:t>
            </w:r>
            <w:proofErr w:type="spellEnd"/>
            <w:r w:rsidR="005259D8">
              <w:rPr>
                <w:rFonts w:ascii="Times New Roman" w:eastAsia="Calibri" w:hAnsi="Times New Roman" w:cs="Times New Roman"/>
                <w:sz w:val="20"/>
                <w:szCs w:val="20"/>
              </w:rPr>
              <w:t xml:space="preserve"> (Rank them)</w:t>
            </w:r>
            <w:r>
              <w:rPr>
                <w:rFonts w:ascii="Times New Roman" w:eastAsia="Calibri" w:hAnsi="Times New Roman" w:cs="Times New Roman"/>
                <w:sz w:val="20"/>
                <w:szCs w:val="20"/>
              </w:rPr>
              <w:t>?</w:t>
            </w:r>
          </w:p>
          <w:p w14:paraId="28CCEE28" w14:textId="77777777" w:rsidR="009C2115" w:rsidRDefault="009C2115" w:rsidP="009C2115">
            <w:pPr>
              <w:contextualSpacing/>
              <w:jc w:val="both"/>
              <w:rPr>
                <w:rFonts w:ascii="Times New Roman" w:eastAsia="Calibri" w:hAnsi="Times New Roman" w:cs="Times New Roman"/>
                <w:sz w:val="20"/>
                <w:szCs w:val="20"/>
              </w:rPr>
            </w:pPr>
          </w:p>
          <w:p w14:paraId="28CCEE29" w14:textId="77777777" w:rsidR="009C2115" w:rsidRPr="00F967F4" w:rsidRDefault="009C2115" w:rsidP="009C2115">
            <w:pPr>
              <w:contextualSpacing/>
              <w:jc w:val="center"/>
              <w:rPr>
                <w:rFonts w:ascii="Times New Roman" w:eastAsia="Calibri" w:hAnsi="Times New Roman" w:cs="Times New Roman"/>
                <w:sz w:val="20"/>
                <w:szCs w:val="20"/>
              </w:rPr>
            </w:pPr>
            <w:r w:rsidRPr="009C2115">
              <w:rPr>
                <w:rFonts w:ascii="Times New Roman" w:eastAsia="Calibri" w:hAnsi="Times New Roman" w:cs="Times New Roman"/>
                <w:sz w:val="20"/>
                <w:szCs w:val="20"/>
              </w:rPr>
              <w:t xml:space="preserve">(Note: This power influence does not reflect “hierarchical relations” as some institutions with limited hierarchical power can be influential in terms of their rate of work in supporting actors along the maize value web and driving the attainment of </w:t>
            </w:r>
            <w:r w:rsidR="00AA3926">
              <w:rPr>
                <w:rFonts w:ascii="Times New Roman" w:eastAsia="Calibri" w:hAnsi="Times New Roman" w:cs="Times New Roman"/>
                <w:sz w:val="20"/>
                <w:szCs w:val="20"/>
              </w:rPr>
              <w:t>an effective design and implementation process</w:t>
            </w:r>
            <w:r w:rsidRPr="009C2115">
              <w:rPr>
                <w:rFonts w:ascii="Times New Roman" w:eastAsia="Calibri" w:hAnsi="Times New Roman" w:cs="Times New Roman"/>
                <w:sz w:val="20"/>
                <w:szCs w:val="20"/>
              </w:rPr>
              <w:t>)!</w:t>
            </w:r>
          </w:p>
        </w:tc>
        <w:tc>
          <w:tcPr>
            <w:tcW w:w="3118" w:type="dxa"/>
            <w:vMerge/>
          </w:tcPr>
          <w:p w14:paraId="28CCEE2A" w14:textId="77777777" w:rsidR="00BB01E1" w:rsidRPr="00BB01E1" w:rsidRDefault="00BB01E1" w:rsidP="00BB01E1">
            <w:pPr>
              <w:rPr>
                <w:rFonts w:ascii="Times New Roman" w:eastAsia="Calibri" w:hAnsi="Times New Roman" w:cs="Times New Roman"/>
                <w:sz w:val="20"/>
                <w:szCs w:val="20"/>
              </w:rPr>
            </w:pPr>
          </w:p>
        </w:tc>
      </w:tr>
      <w:tr w:rsidR="00BB01E1" w:rsidRPr="00BB01E1" w14:paraId="28CCEE3A" w14:textId="77777777" w:rsidTr="009C2115">
        <w:trPr>
          <w:trHeight w:val="1410"/>
          <w:jc w:val="center"/>
        </w:trPr>
        <w:tc>
          <w:tcPr>
            <w:tcW w:w="3652" w:type="dxa"/>
          </w:tcPr>
          <w:p w14:paraId="28CCEE2C" w14:textId="77777777" w:rsidR="00BB01E1" w:rsidRPr="00BB01E1" w:rsidRDefault="00BB01E1" w:rsidP="00BB01E1">
            <w:pPr>
              <w:rPr>
                <w:rFonts w:ascii="Times New Roman" w:eastAsia="Times New Roman" w:hAnsi="Times New Roman" w:cs="Times New Roman"/>
                <w:sz w:val="20"/>
                <w:szCs w:val="20"/>
              </w:rPr>
            </w:pPr>
            <w:r w:rsidRPr="00BB01E1">
              <w:rPr>
                <w:rFonts w:ascii="Times New Roman" w:eastAsia="Times New Roman" w:hAnsi="Times New Roman" w:cs="Times New Roman"/>
                <w:sz w:val="20"/>
                <w:szCs w:val="20"/>
              </w:rPr>
              <w:t xml:space="preserve">Can you tell </w:t>
            </w:r>
            <w:r w:rsidR="00F967F4">
              <w:rPr>
                <w:rFonts w:ascii="Times New Roman" w:eastAsia="Times New Roman" w:hAnsi="Times New Roman" w:cs="Times New Roman"/>
                <w:sz w:val="20"/>
                <w:szCs w:val="20"/>
              </w:rPr>
              <w:t>us about the challenges that limited the effective implementation of the e-wallet GESS in Nigeria</w:t>
            </w:r>
            <w:r w:rsidRPr="00BB01E1">
              <w:rPr>
                <w:rFonts w:ascii="Times New Roman" w:eastAsia="Times New Roman" w:hAnsi="Times New Roman" w:cs="Times New Roman"/>
                <w:sz w:val="20"/>
                <w:szCs w:val="20"/>
              </w:rPr>
              <w:t>?</w:t>
            </w:r>
          </w:p>
          <w:p w14:paraId="28CCEE2D" w14:textId="77777777" w:rsidR="00BB01E1" w:rsidRPr="00BB01E1" w:rsidRDefault="00BB01E1" w:rsidP="00BB01E1">
            <w:pPr>
              <w:rPr>
                <w:rFonts w:ascii="Times New Roman" w:eastAsia="Calibri" w:hAnsi="Times New Roman" w:cs="Times New Roman"/>
                <w:b/>
                <w:i/>
                <w:sz w:val="20"/>
                <w:szCs w:val="20"/>
                <w:u w:val="single"/>
              </w:rPr>
            </w:pPr>
          </w:p>
          <w:p w14:paraId="28CCEE2E" w14:textId="0A3B90A3" w:rsidR="00BB01E1" w:rsidRPr="00BB01E1" w:rsidRDefault="00BB01E1" w:rsidP="00BB01E1">
            <w:pPr>
              <w:rPr>
                <w:rFonts w:ascii="Times New Roman" w:eastAsia="Times New Roman" w:hAnsi="Times New Roman" w:cs="Times New Roman"/>
                <w:sz w:val="20"/>
                <w:szCs w:val="20"/>
              </w:rPr>
            </w:pPr>
            <w:r w:rsidRPr="00BB01E1">
              <w:rPr>
                <w:rFonts w:ascii="Times New Roman" w:eastAsia="Calibri" w:hAnsi="Times New Roman" w:cs="Times New Roman"/>
                <w:b/>
                <w:i/>
                <w:sz w:val="20"/>
                <w:szCs w:val="20"/>
                <w:u w:val="single"/>
              </w:rPr>
              <w:t>Responses should be depicted on the cardboard provided, based on the Net-</w:t>
            </w:r>
            <w:r w:rsidR="000B2705">
              <w:rPr>
                <w:rFonts w:ascii="Times New Roman" w:eastAsia="Calibri" w:hAnsi="Times New Roman" w:cs="Times New Roman"/>
                <w:b/>
                <w:i/>
                <w:sz w:val="20"/>
                <w:szCs w:val="20"/>
                <w:u w:val="single"/>
              </w:rPr>
              <w:t>M</w:t>
            </w:r>
            <w:r w:rsidRPr="00BB01E1">
              <w:rPr>
                <w:rFonts w:ascii="Times New Roman" w:eastAsia="Calibri" w:hAnsi="Times New Roman" w:cs="Times New Roman"/>
                <w:b/>
                <w:i/>
                <w:sz w:val="20"/>
                <w:szCs w:val="20"/>
                <w:u w:val="single"/>
              </w:rPr>
              <w:t>ap procedure described!</w:t>
            </w:r>
          </w:p>
        </w:tc>
        <w:tc>
          <w:tcPr>
            <w:tcW w:w="8313" w:type="dxa"/>
          </w:tcPr>
          <w:p w14:paraId="28CCEE2F" w14:textId="77777777" w:rsidR="00F967F4" w:rsidRDefault="00F967F4" w:rsidP="00BB01E1">
            <w:pPr>
              <w:numPr>
                <w:ilvl w:val="0"/>
                <w:numId w:val="3"/>
              </w:numPr>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From your experience, which challenges did you face during the implementation of the GESS?</w:t>
            </w:r>
          </w:p>
          <w:p w14:paraId="28CCEE30" w14:textId="77777777" w:rsidR="005259D8" w:rsidRPr="005259D8" w:rsidRDefault="005259D8" w:rsidP="005259D8">
            <w:pPr>
              <w:numPr>
                <w:ilvl w:val="0"/>
                <w:numId w:val="3"/>
              </w:numPr>
              <w:contextualSpacing/>
              <w:jc w:val="both"/>
              <w:rPr>
                <w:rFonts w:ascii="Times New Roman" w:eastAsia="Times New Roman" w:hAnsi="Times New Roman" w:cs="Times New Roman"/>
                <w:sz w:val="20"/>
                <w:szCs w:val="20"/>
              </w:rPr>
            </w:pPr>
            <w:r w:rsidRPr="005259D8">
              <w:rPr>
                <w:rFonts w:ascii="Times New Roman" w:eastAsia="Times New Roman" w:hAnsi="Times New Roman" w:cs="Times New Roman"/>
                <w:sz w:val="20"/>
                <w:szCs w:val="20"/>
              </w:rPr>
              <w:t>What other challenges exist</w:t>
            </w:r>
            <w:r>
              <w:rPr>
                <w:rFonts w:ascii="Times New Roman" w:eastAsia="Times New Roman" w:hAnsi="Times New Roman" w:cs="Times New Roman"/>
                <w:sz w:val="20"/>
                <w:szCs w:val="20"/>
              </w:rPr>
              <w:t xml:space="preserve">ed during the implementation process of the </w:t>
            </w:r>
            <w:proofErr w:type="spellStart"/>
            <w:r>
              <w:rPr>
                <w:rFonts w:ascii="Times New Roman" w:eastAsia="Times New Roman" w:hAnsi="Times New Roman" w:cs="Times New Roman"/>
                <w:sz w:val="20"/>
                <w:szCs w:val="20"/>
              </w:rPr>
              <w:t>programme</w:t>
            </w:r>
            <w:proofErr w:type="spellEnd"/>
            <w:r w:rsidRPr="005259D8">
              <w:rPr>
                <w:rFonts w:ascii="Times New Roman" w:eastAsia="Times New Roman" w:hAnsi="Times New Roman" w:cs="Times New Roman"/>
                <w:sz w:val="20"/>
                <w:szCs w:val="20"/>
              </w:rPr>
              <w:t>?</w:t>
            </w:r>
          </w:p>
          <w:p w14:paraId="28CCEE31" w14:textId="77777777" w:rsidR="005259D8" w:rsidRPr="005259D8" w:rsidRDefault="005259D8" w:rsidP="005259D8">
            <w:pPr>
              <w:numPr>
                <w:ilvl w:val="0"/>
                <w:numId w:val="3"/>
              </w:numPr>
              <w:contextualSpacing/>
              <w:jc w:val="both"/>
              <w:rPr>
                <w:rFonts w:ascii="Times New Roman" w:eastAsia="Times New Roman" w:hAnsi="Times New Roman" w:cs="Times New Roman"/>
                <w:sz w:val="20"/>
                <w:szCs w:val="20"/>
              </w:rPr>
            </w:pPr>
            <w:r w:rsidRPr="005259D8">
              <w:rPr>
                <w:rFonts w:ascii="Times New Roman" w:eastAsia="Times New Roman" w:hAnsi="Times New Roman" w:cs="Times New Roman"/>
                <w:sz w:val="20"/>
                <w:szCs w:val="20"/>
              </w:rPr>
              <w:t xml:space="preserve">What impact do these challenges have on the </w:t>
            </w:r>
            <w:r>
              <w:rPr>
                <w:rFonts w:ascii="Times New Roman" w:eastAsia="Times New Roman" w:hAnsi="Times New Roman" w:cs="Times New Roman"/>
                <w:sz w:val="20"/>
                <w:szCs w:val="20"/>
              </w:rPr>
              <w:t xml:space="preserve">successful implementation of the </w:t>
            </w:r>
            <w:proofErr w:type="spellStart"/>
            <w:r>
              <w:rPr>
                <w:rFonts w:ascii="Times New Roman" w:eastAsia="Times New Roman" w:hAnsi="Times New Roman" w:cs="Times New Roman"/>
                <w:sz w:val="20"/>
                <w:szCs w:val="20"/>
              </w:rPr>
              <w:t>programme</w:t>
            </w:r>
            <w:proofErr w:type="spellEnd"/>
            <w:r w:rsidRPr="005259D8">
              <w:rPr>
                <w:rFonts w:ascii="Times New Roman" w:eastAsia="Times New Roman" w:hAnsi="Times New Roman" w:cs="Times New Roman"/>
                <w:sz w:val="20"/>
                <w:szCs w:val="20"/>
              </w:rPr>
              <w:t>?</w:t>
            </w:r>
          </w:p>
          <w:p w14:paraId="28CCEE32" w14:textId="77777777" w:rsidR="00BB01E1" w:rsidRDefault="00F967F4" w:rsidP="00BB01E1">
            <w:pPr>
              <w:numPr>
                <w:ilvl w:val="0"/>
                <w:numId w:val="3"/>
              </w:numPr>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Over</w:t>
            </w:r>
            <w:r w:rsidR="005259D8">
              <w:rPr>
                <w:rFonts w:ascii="Times New Roman" w:eastAsia="Calibri" w:hAnsi="Times New Roman" w:cs="Times New Roman"/>
                <w:sz w:val="20"/>
                <w:szCs w:val="20"/>
              </w:rPr>
              <w:t>all</w:t>
            </w:r>
            <w:r>
              <w:rPr>
                <w:rFonts w:ascii="Times New Roman" w:eastAsia="Calibri" w:hAnsi="Times New Roman" w:cs="Times New Roman"/>
                <w:sz w:val="20"/>
                <w:szCs w:val="20"/>
              </w:rPr>
              <w:t xml:space="preserve">, which challenges limited the effective implementation of the </w:t>
            </w:r>
            <w:proofErr w:type="spellStart"/>
            <w:r>
              <w:rPr>
                <w:rFonts w:ascii="Times New Roman" w:eastAsia="Calibri" w:hAnsi="Times New Roman" w:cs="Times New Roman"/>
                <w:sz w:val="20"/>
                <w:szCs w:val="20"/>
              </w:rPr>
              <w:t>programme</w:t>
            </w:r>
            <w:proofErr w:type="spellEnd"/>
            <w:r>
              <w:rPr>
                <w:rFonts w:ascii="Times New Roman" w:eastAsia="Calibri" w:hAnsi="Times New Roman" w:cs="Times New Roman"/>
                <w:sz w:val="20"/>
                <w:szCs w:val="20"/>
              </w:rPr>
              <w:t xml:space="preserve"> </w:t>
            </w:r>
            <w:r w:rsidR="005044C1">
              <w:rPr>
                <w:rFonts w:ascii="Times New Roman" w:eastAsia="Calibri" w:hAnsi="Times New Roman" w:cs="Times New Roman"/>
                <w:sz w:val="20"/>
                <w:szCs w:val="20"/>
              </w:rPr>
              <w:t xml:space="preserve">the </w:t>
            </w:r>
            <w:r>
              <w:rPr>
                <w:rFonts w:ascii="Times New Roman" w:eastAsia="Calibri" w:hAnsi="Times New Roman" w:cs="Times New Roman"/>
                <w:sz w:val="20"/>
                <w:szCs w:val="20"/>
              </w:rPr>
              <w:t>most</w:t>
            </w:r>
            <w:r w:rsidR="00BB01E1" w:rsidRPr="00BB01E1">
              <w:rPr>
                <w:rFonts w:ascii="Times New Roman" w:eastAsia="Calibri" w:hAnsi="Times New Roman" w:cs="Times New Roman"/>
                <w:sz w:val="20"/>
                <w:szCs w:val="20"/>
              </w:rPr>
              <w:t>?</w:t>
            </w:r>
          </w:p>
          <w:p w14:paraId="28CCEE33" w14:textId="77777777" w:rsidR="00F967F4" w:rsidRDefault="00F967F4" w:rsidP="00BB01E1">
            <w:pPr>
              <w:numPr>
                <w:ilvl w:val="0"/>
                <w:numId w:val="3"/>
              </w:numPr>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Where were these challenges located along the implementation process of the </w:t>
            </w:r>
            <w:proofErr w:type="spellStart"/>
            <w:r>
              <w:rPr>
                <w:rFonts w:ascii="Times New Roman" w:eastAsia="Calibri" w:hAnsi="Times New Roman" w:cs="Times New Roman"/>
                <w:sz w:val="20"/>
                <w:szCs w:val="20"/>
              </w:rPr>
              <w:t>programme</w:t>
            </w:r>
            <w:proofErr w:type="spellEnd"/>
            <w:r>
              <w:rPr>
                <w:rFonts w:ascii="Times New Roman" w:eastAsia="Calibri" w:hAnsi="Times New Roman" w:cs="Times New Roman"/>
                <w:sz w:val="20"/>
                <w:szCs w:val="20"/>
              </w:rPr>
              <w:t>?</w:t>
            </w:r>
          </w:p>
          <w:p w14:paraId="28CCEE34" w14:textId="77777777" w:rsidR="005259D8" w:rsidRPr="005259D8" w:rsidRDefault="00F967F4" w:rsidP="005259D8">
            <w:pPr>
              <w:numPr>
                <w:ilvl w:val="0"/>
                <w:numId w:val="3"/>
              </w:numPr>
              <w:contextualSpacing/>
              <w:jc w:val="both"/>
              <w:rPr>
                <w:rFonts w:ascii="Times New Roman" w:eastAsia="Times New Roman" w:hAnsi="Times New Roman" w:cs="Times New Roman"/>
                <w:sz w:val="20"/>
                <w:szCs w:val="20"/>
              </w:rPr>
            </w:pPr>
            <w:r>
              <w:rPr>
                <w:rFonts w:ascii="Times New Roman" w:eastAsia="Calibri" w:hAnsi="Times New Roman" w:cs="Times New Roman"/>
                <w:sz w:val="20"/>
                <w:szCs w:val="20"/>
              </w:rPr>
              <w:t xml:space="preserve">What </w:t>
            </w:r>
            <w:r w:rsidR="005259D8">
              <w:rPr>
                <w:rFonts w:ascii="Times New Roman" w:eastAsia="Calibri" w:hAnsi="Times New Roman" w:cs="Times New Roman"/>
                <w:sz w:val="20"/>
                <w:szCs w:val="20"/>
              </w:rPr>
              <w:t>were</w:t>
            </w:r>
            <w:r>
              <w:rPr>
                <w:rFonts w:ascii="Times New Roman" w:eastAsia="Calibri" w:hAnsi="Times New Roman" w:cs="Times New Roman"/>
                <w:sz w:val="20"/>
                <w:szCs w:val="20"/>
              </w:rPr>
              <w:t xml:space="preserve"> the entry points of these challenges?</w:t>
            </w:r>
            <w:r w:rsidR="005259D8">
              <w:rPr>
                <w:rFonts w:ascii="Times New Roman" w:eastAsia="Calibri" w:hAnsi="Times New Roman" w:cs="Times New Roman"/>
                <w:sz w:val="20"/>
                <w:szCs w:val="20"/>
              </w:rPr>
              <w:t xml:space="preserve"> </w:t>
            </w:r>
          </w:p>
          <w:p w14:paraId="28CCEE35" w14:textId="2A287EEE" w:rsidR="005259D8" w:rsidRPr="005259D8" w:rsidRDefault="005259D8" w:rsidP="005259D8">
            <w:pPr>
              <w:numPr>
                <w:ilvl w:val="0"/>
                <w:numId w:val="3"/>
              </w:numPr>
              <w:contextualSpacing/>
              <w:jc w:val="both"/>
              <w:rPr>
                <w:rFonts w:ascii="Times New Roman" w:eastAsia="Times New Roman" w:hAnsi="Times New Roman" w:cs="Times New Roman"/>
                <w:sz w:val="20"/>
                <w:szCs w:val="20"/>
              </w:rPr>
            </w:pPr>
            <w:r w:rsidRPr="005259D8">
              <w:rPr>
                <w:rFonts w:ascii="Times New Roman" w:eastAsia="Times New Roman" w:hAnsi="Times New Roman" w:cs="Times New Roman"/>
                <w:sz w:val="20"/>
                <w:szCs w:val="20"/>
              </w:rPr>
              <w:t xml:space="preserve">Can you identify the entry points of these challenges on the </w:t>
            </w:r>
            <w:r>
              <w:rPr>
                <w:rFonts w:ascii="Times New Roman" w:eastAsia="Times New Roman" w:hAnsi="Times New Roman" w:cs="Times New Roman"/>
                <w:sz w:val="20"/>
                <w:szCs w:val="20"/>
              </w:rPr>
              <w:t xml:space="preserve">Process </w:t>
            </w:r>
            <w:r w:rsidRPr="005259D8">
              <w:rPr>
                <w:rFonts w:ascii="Times New Roman" w:eastAsia="Times New Roman" w:hAnsi="Times New Roman" w:cs="Times New Roman"/>
                <w:sz w:val="20"/>
                <w:szCs w:val="20"/>
              </w:rPr>
              <w:t>Net-</w:t>
            </w:r>
            <w:r w:rsidR="000306CD">
              <w:rPr>
                <w:rFonts w:ascii="Times New Roman" w:eastAsia="Times New Roman" w:hAnsi="Times New Roman" w:cs="Times New Roman"/>
                <w:sz w:val="20"/>
                <w:szCs w:val="20"/>
              </w:rPr>
              <w:t>M</w:t>
            </w:r>
            <w:r w:rsidRPr="005259D8">
              <w:rPr>
                <w:rFonts w:ascii="Times New Roman" w:eastAsia="Times New Roman" w:hAnsi="Times New Roman" w:cs="Times New Roman"/>
                <w:sz w:val="20"/>
                <w:szCs w:val="20"/>
              </w:rPr>
              <w:t>ap?</w:t>
            </w:r>
          </w:p>
          <w:p w14:paraId="28CCEE36" w14:textId="77777777" w:rsidR="00BB01E1" w:rsidRDefault="00F967F4" w:rsidP="00F967F4">
            <w:pPr>
              <w:numPr>
                <w:ilvl w:val="0"/>
                <w:numId w:val="3"/>
              </w:numPr>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How dynamic were these challenges compared to the previous </w:t>
            </w:r>
            <w:proofErr w:type="spellStart"/>
            <w:r>
              <w:rPr>
                <w:rFonts w:ascii="Times New Roman" w:eastAsia="Calibri" w:hAnsi="Times New Roman" w:cs="Times New Roman"/>
                <w:sz w:val="20"/>
                <w:szCs w:val="20"/>
              </w:rPr>
              <w:t>programmes</w:t>
            </w:r>
            <w:proofErr w:type="spellEnd"/>
            <w:r>
              <w:rPr>
                <w:rFonts w:ascii="Times New Roman" w:eastAsia="Calibri" w:hAnsi="Times New Roman" w:cs="Times New Roman"/>
                <w:sz w:val="20"/>
                <w:szCs w:val="20"/>
              </w:rPr>
              <w:t>?</w:t>
            </w:r>
          </w:p>
          <w:p w14:paraId="28CCEE37" w14:textId="77777777" w:rsidR="00AA3926" w:rsidRDefault="00AA3926" w:rsidP="00AA3926">
            <w:pPr>
              <w:numPr>
                <w:ilvl w:val="1"/>
                <w:numId w:val="3"/>
              </w:numPr>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In which phases were these bottlenecks</w:t>
            </w:r>
            <w:r w:rsidR="005259D8">
              <w:rPr>
                <w:rFonts w:ascii="Times New Roman" w:eastAsia="Calibri" w:hAnsi="Times New Roman" w:cs="Times New Roman"/>
                <w:sz w:val="20"/>
                <w:szCs w:val="20"/>
              </w:rPr>
              <w:t xml:space="preserve"> found</w:t>
            </w:r>
            <w:r>
              <w:rPr>
                <w:rFonts w:ascii="Times New Roman" w:eastAsia="Calibri" w:hAnsi="Times New Roman" w:cs="Times New Roman"/>
                <w:sz w:val="20"/>
                <w:szCs w:val="20"/>
              </w:rPr>
              <w:t xml:space="preserve"> in the previous </w:t>
            </w:r>
            <w:proofErr w:type="spellStart"/>
            <w:r>
              <w:rPr>
                <w:rFonts w:ascii="Times New Roman" w:eastAsia="Calibri" w:hAnsi="Times New Roman" w:cs="Times New Roman"/>
                <w:sz w:val="20"/>
                <w:szCs w:val="20"/>
              </w:rPr>
              <w:t>programmes</w:t>
            </w:r>
            <w:proofErr w:type="spellEnd"/>
            <w:r>
              <w:rPr>
                <w:rFonts w:ascii="Times New Roman" w:eastAsia="Calibri" w:hAnsi="Times New Roman" w:cs="Times New Roman"/>
                <w:sz w:val="20"/>
                <w:szCs w:val="20"/>
              </w:rPr>
              <w:t>?</w:t>
            </w:r>
          </w:p>
          <w:p w14:paraId="28CCEE38" w14:textId="77777777" w:rsidR="00AA3926" w:rsidRPr="00F967F4" w:rsidRDefault="00AA3926" w:rsidP="00AA3926">
            <w:pPr>
              <w:numPr>
                <w:ilvl w:val="1"/>
                <w:numId w:val="3"/>
              </w:numPr>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In which phases are these bottlenecks found in the current </w:t>
            </w:r>
            <w:proofErr w:type="spellStart"/>
            <w:r>
              <w:rPr>
                <w:rFonts w:ascii="Times New Roman" w:eastAsia="Calibri" w:hAnsi="Times New Roman" w:cs="Times New Roman"/>
                <w:sz w:val="20"/>
                <w:szCs w:val="20"/>
              </w:rPr>
              <w:t>programme</w:t>
            </w:r>
            <w:proofErr w:type="spellEnd"/>
            <w:r>
              <w:rPr>
                <w:rFonts w:ascii="Times New Roman" w:eastAsia="Calibri" w:hAnsi="Times New Roman" w:cs="Times New Roman"/>
                <w:sz w:val="20"/>
                <w:szCs w:val="20"/>
              </w:rPr>
              <w:t>?</w:t>
            </w:r>
          </w:p>
        </w:tc>
        <w:tc>
          <w:tcPr>
            <w:tcW w:w="3118" w:type="dxa"/>
            <w:vMerge/>
          </w:tcPr>
          <w:p w14:paraId="28CCEE39" w14:textId="77777777" w:rsidR="00BB01E1" w:rsidRPr="00BB01E1" w:rsidRDefault="00BB01E1" w:rsidP="00BB01E1">
            <w:pPr>
              <w:rPr>
                <w:rFonts w:ascii="Times New Roman" w:eastAsia="Calibri" w:hAnsi="Times New Roman" w:cs="Times New Roman"/>
                <w:sz w:val="20"/>
                <w:szCs w:val="20"/>
              </w:rPr>
            </w:pPr>
          </w:p>
        </w:tc>
      </w:tr>
      <w:tr w:rsidR="00BB01E1" w:rsidRPr="00BB01E1" w14:paraId="28CCEE42" w14:textId="77777777" w:rsidTr="009C2115">
        <w:trPr>
          <w:trHeight w:val="1410"/>
          <w:jc w:val="center"/>
        </w:trPr>
        <w:tc>
          <w:tcPr>
            <w:tcW w:w="3652" w:type="dxa"/>
          </w:tcPr>
          <w:p w14:paraId="28CCEE3B" w14:textId="77777777" w:rsidR="00BB01E1" w:rsidRPr="00BB01E1" w:rsidRDefault="00F967F4" w:rsidP="00BB01E1">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How did the actors/stakeholders in the </w:t>
            </w:r>
            <w:proofErr w:type="spellStart"/>
            <w:r>
              <w:rPr>
                <w:rFonts w:ascii="Times New Roman" w:eastAsia="Times New Roman" w:hAnsi="Times New Roman" w:cs="Times New Roman"/>
                <w:sz w:val="20"/>
                <w:szCs w:val="20"/>
              </w:rPr>
              <w:t>programme</w:t>
            </w:r>
            <w:proofErr w:type="spellEnd"/>
            <w:r>
              <w:rPr>
                <w:rFonts w:ascii="Times New Roman" w:eastAsia="Times New Roman" w:hAnsi="Times New Roman" w:cs="Times New Roman"/>
                <w:sz w:val="20"/>
                <w:szCs w:val="20"/>
              </w:rPr>
              <w:t xml:space="preserve"> adapt to resolve the challenges identified above?</w:t>
            </w:r>
          </w:p>
        </w:tc>
        <w:tc>
          <w:tcPr>
            <w:tcW w:w="8313" w:type="dxa"/>
          </w:tcPr>
          <w:p w14:paraId="28CCEE3C" w14:textId="77777777" w:rsidR="00BB01E1" w:rsidRPr="00BB01E1" w:rsidRDefault="00F967F4" w:rsidP="00BB01E1">
            <w:pPr>
              <w:numPr>
                <w:ilvl w:val="0"/>
                <w:numId w:val="3"/>
              </w:numPr>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Which amendments were made to overcome these governance challenges in the </w:t>
            </w:r>
            <w:proofErr w:type="spellStart"/>
            <w:r>
              <w:rPr>
                <w:rFonts w:ascii="Times New Roman" w:eastAsia="Times New Roman" w:hAnsi="Times New Roman" w:cs="Times New Roman"/>
                <w:sz w:val="20"/>
                <w:szCs w:val="20"/>
              </w:rPr>
              <w:t>programme</w:t>
            </w:r>
            <w:proofErr w:type="spellEnd"/>
            <w:r w:rsidR="00BB01E1" w:rsidRPr="00BB01E1">
              <w:rPr>
                <w:rFonts w:ascii="Times New Roman" w:eastAsia="Times New Roman" w:hAnsi="Times New Roman" w:cs="Times New Roman"/>
                <w:sz w:val="20"/>
                <w:szCs w:val="20"/>
              </w:rPr>
              <w:t>?</w:t>
            </w:r>
          </w:p>
          <w:p w14:paraId="28CCEE3D" w14:textId="77777777" w:rsidR="00BB01E1" w:rsidRPr="00BB01E1" w:rsidRDefault="00F967F4" w:rsidP="00BB01E1">
            <w:pPr>
              <w:numPr>
                <w:ilvl w:val="0"/>
                <w:numId w:val="3"/>
              </w:numPr>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Why were these specific amendments made?</w:t>
            </w:r>
          </w:p>
          <w:p w14:paraId="28CCEE3E" w14:textId="77777777" w:rsidR="00BB01E1" w:rsidRDefault="00F967F4" w:rsidP="00F967F4">
            <w:pPr>
              <w:numPr>
                <w:ilvl w:val="0"/>
                <w:numId w:val="3"/>
              </w:numPr>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What other supporting structures were employed to overcome these governance challenges?</w:t>
            </w:r>
          </w:p>
          <w:p w14:paraId="28CCEE3F" w14:textId="77777777" w:rsidR="00F967F4" w:rsidRPr="00F967F4" w:rsidRDefault="00F967F4" w:rsidP="00F967F4">
            <w:pPr>
              <w:pStyle w:val="ListParagraph"/>
              <w:numPr>
                <w:ilvl w:val="0"/>
                <w:numId w:val="3"/>
              </w:numPr>
              <w:rPr>
                <w:rFonts w:ascii="Times New Roman" w:eastAsia="Calibri" w:hAnsi="Times New Roman" w:cs="Times New Roman"/>
                <w:sz w:val="20"/>
                <w:szCs w:val="20"/>
              </w:rPr>
            </w:pPr>
            <w:r w:rsidRPr="00F967F4">
              <w:rPr>
                <w:rFonts w:ascii="Times New Roman" w:eastAsia="Calibri" w:hAnsi="Times New Roman" w:cs="Times New Roman"/>
                <w:sz w:val="20"/>
                <w:szCs w:val="20"/>
              </w:rPr>
              <w:t>To what extent</w:t>
            </w:r>
            <w:r>
              <w:rPr>
                <w:rFonts w:ascii="Times New Roman" w:eastAsia="Calibri" w:hAnsi="Times New Roman" w:cs="Times New Roman"/>
                <w:sz w:val="20"/>
                <w:szCs w:val="20"/>
              </w:rPr>
              <w:t xml:space="preserve"> is</w:t>
            </w:r>
            <w:r w:rsidRPr="00F967F4">
              <w:rPr>
                <w:rFonts w:ascii="Times New Roman" w:eastAsia="Calibri" w:hAnsi="Times New Roman" w:cs="Times New Roman"/>
                <w:sz w:val="20"/>
                <w:szCs w:val="20"/>
              </w:rPr>
              <w:t xml:space="preserve"> th</w:t>
            </w:r>
            <w:r>
              <w:rPr>
                <w:rFonts w:ascii="Times New Roman" w:eastAsia="Calibri" w:hAnsi="Times New Roman" w:cs="Times New Roman"/>
                <w:sz w:val="20"/>
                <w:szCs w:val="20"/>
              </w:rPr>
              <w:t>is</w:t>
            </w:r>
            <w:r w:rsidRPr="00F967F4">
              <w:rPr>
                <w:rFonts w:ascii="Times New Roman" w:eastAsia="Calibri" w:hAnsi="Times New Roman" w:cs="Times New Roman"/>
                <w:sz w:val="20"/>
                <w:szCs w:val="20"/>
              </w:rPr>
              <w:t xml:space="preserve"> </w:t>
            </w:r>
            <w:proofErr w:type="spellStart"/>
            <w:r w:rsidRPr="00F967F4">
              <w:rPr>
                <w:rFonts w:ascii="Times New Roman" w:eastAsia="Calibri" w:hAnsi="Times New Roman" w:cs="Times New Roman"/>
                <w:sz w:val="20"/>
                <w:szCs w:val="20"/>
              </w:rPr>
              <w:t>p</w:t>
            </w:r>
            <w:r>
              <w:rPr>
                <w:rFonts w:ascii="Times New Roman" w:eastAsia="Calibri" w:hAnsi="Times New Roman" w:cs="Times New Roman"/>
                <w:sz w:val="20"/>
                <w:szCs w:val="20"/>
              </w:rPr>
              <w:t>rogramme</w:t>
            </w:r>
            <w:proofErr w:type="spellEnd"/>
            <w:r w:rsidRPr="00F967F4">
              <w:rPr>
                <w:rFonts w:ascii="Times New Roman" w:eastAsia="Calibri" w:hAnsi="Times New Roman" w:cs="Times New Roman"/>
                <w:sz w:val="20"/>
                <w:szCs w:val="20"/>
              </w:rPr>
              <w:t xml:space="preserve"> consistent with other </w:t>
            </w:r>
            <w:proofErr w:type="spellStart"/>
            <w:r>
              <w:rPr>
                <w:rFonts w:ascii="Times New Roman" w:eastAsia="Calibri" w:hAnsi="Times New Roman" w:cs="Times New Roman"/>
                <w:sz w:val="20"/>
                <w:szCs w:val="20"/>
              </w:rPr>
              <w:t>programmes</w:t>
            </w:r>
            <w:proofErr w:type="spellEnd"/>
            <w:r>
              <w:rPr>
                <w:rFonts w:ascii="Times New Roman" w:eastAsia="Calibri" w:hAnsi="Times New Roman" w:cs="Times New Roman"/>
                <w:sz w:val="20"/>
                <w:szCs w:val="20"/>
              </w:rPr>
              <w:t xml:space="preserve"> </w:t>
            </w:r>
            <w:r w:rsidRPr="00F967F4">
              <w:rPr>
                <w:rFonts w:ascii="Times New Roman" w:eastAsia="Calibri" w:hAnsi="Times New Roman" w:cs="Times New Roman"/>
                <w:sz w:val="20"/>
                <w:szCs w:val="20"/>
              </w:rPr>
              <w:t>in the</w:t>
            </w:r>
            <w:r>
              <w:rPr>
                <w:rFonts w:ascii="Times New Roman" w:eastAsia="Calibri" w:hAnsi="Times New Roman" w:cs="Times New Roman"/>
                <w:sz w:val="20"/>
                <w:szCs w:val="20"/>
              </w:rPr>
              <w:t xml:space="preserve"> sector</w:t>
            </w:r>
            <w:r w:rsidRPr="00F967F4">
              <w:rPr>
                <w:rFonts w:ascii="Times New Roman" w:eastAsia="Calibri" w:hAnsi="Times New Roman" w:cs="Times New Roman"/>
                <w:sz w:val="20"/>
                <w:szCs w:val="20"/>
              </w:rPr>
              <w:t xml:space="preserve">? </w:t>
            </w:r>
          </w:p>
          <w:p w14:paraId="28CCEE40" w14:textId="77777777" w:rsidR="009C2115" w:rsidRPr="009C2115" w:rsidRDefault="00F967F4" w:rsidP="009C2115">
            <w:pPr>
              <w:pStyle w:val="ListParagraph"/>
              <w:numPr>
                <w:ilvl w:val="0"/>
                <w:numId w:val="3"/>
              </w:numPr>
              <w:rPr>
                <w:rFonts w:ascii="Times New Roman" w:eastAsia="Calibri" w:hAnsi="Times New Roman" w:cs="Times New Roman"/>
                <w:sz w:val="20"/>
                <w:szCs w:val="20"/>
              </w:rPr>
            </w:pPr>
            <w:r w:rsidRPr="00F967F4">
              <w:rPr>
                <w:rFonts w:ascii="Times New Roman" w:eastAsia="Calibri" w:hAnsi="Times New Roman" w:cs="Times New Roman"/>
                <w:sz w:val="20"/>
                <w:szCs w:val="20"/>
              </w:rPr>
              <w:t>How will you rate the</w:t>
            </w:r>
            <w:r>
              <w:rPr>
                <w:rFonts w:ascii="Times New Roman" w:eastAsia="Calibri" w:hAnsi="Times New Roman" w:cs="Times New Roman"/>
                <w:sz w:val="20"/>
                <w:szCs w:val="20"/>
              </w:rPr>
              <w:t xml:space="preserve"> effectiveness of this </w:t>
            </w:r>
            <w:proofErr w:type="spellStart"/>
            <w:r>
              <w:rPr>
                <w:rFonts w:ascii="Times New Roman" w:eastAsia="Calibri" w:hAnsi="Times New Roman" w:cs="Times New Roman"/>
                <w:sz w:val="20"/>
                <w:szCs w:val="20"/>
              </w:rPr>
              <w:t>programme</w:t>
            </w:r>
            <w:proofErr w:type="spellEnd"/>
            <w:r>
              <w:rPr>
                <w:rFonts w:ascii="Times New Roman" w:eastAsia="Calibri" w:hAnsi="Times New Roman" w:cs="Times New Roman"/>
                <w:sz w:val="20"/>
                <w:szCs w:val="20"/>
              </w:rPr>
              <w:t xml:space="preserve"> relative to previous </w:t>
            </w:r>
            <w:proofErr w:type="spellStart"/>
            <w:r>
              <w:rPr>
                <w:rFonts w:ascii="Times New Roman" w:eastAsia="Calibri" w:hAnsi="Times New Roman" w:cs="Times New Roman"/>
                <w:sz w:val="20"/>
                <w:szCs w:val="20"/>
              </w:rPr>
              <w:t>programmes</w:t>
            </w:r>
            <w:proofErr w:type="spellEnd"/>
            <w:r w:rsidRPr="00F967F4">
              <w:rPr>
                <w:rFonts w:ascii="Times New Roman" w:eastAsia="Calibri" w:hAnsi="Times New Roman" w:cs="Times New Roman"/>
                <w:sz w:val="20"/>
                <w:szCs w:val="20"/>
              </w:rPr>
              <w:t>?</w:t>
            </w:r>
          </w:p>
        </w:tc>
        <w:tc>
          <w:tcPr>
            <w:tcW w:w="3118" w:type="dxa"/>
            <w:vMerge/>
          </w:tcPr>
          <w:p w14:paraId="28CCEE41" w14:textId="77777777" w:rsidR="00BB01E1" w:rsidRPr="00BB01E1" w:rsidRDefault="00BB01E1" w:rsidP="00BB01E1">
            <w:pPr>
              <w:rPr>
                <w:rFonts w:ascii="Times New Roman" w:eastAsia="Calibri" w:hAnsi="Times New Roman" w:cs="Times New Roman"/>
                <w:sz w:val="20"/>
                <w:szCs w:val="20"/>
              </w:rPr>
            </w:pPr>
          </w:p>
        </w:tc>
      </w:tr>
      <w:tr w:rsidR="005259D8" w:rsidRPr="00BB01E1" w14:paraId="28CCEE4A" w14:textId="77777777" w:rsidTr="009C2115">
        <w:trPr>
          <w:trHeight w:val="1410"/>
          <w:jc w:val="center"/>
        </w:trPr>
        <w:tc>
          <w:tcPr>
            <w:tcW w:w="3652" w:type="dxa"/>
          </w:tcPr>
          <w:p w14:paraId="28CCEE43" w14:textId="77777777" w:rsidR="005259D8" w:rsidRDefault="005259D8" w:rsidP="00BB01E1">
            <w:pPr>
              <w:rPr>
                <w:rFonts w:ascii="Times New Roman" w:eastAsia="Times New Roman" w:hAnsi="Times New Roman" w:cs="Times New Roman"/>
                <w:sz w:val="20"/>
                <w:szCs w:val="20"/>
              </w:rPr>
            </w:pPr>
            <w:r>
              <w:rPr>
                <w:rFonts w:ascii="Times New Roman" w:eastAsia="Times New Roman" w:hAnsi="Times New Roman" w:cs="Times New Roman"/>
                <w:sz w:val="20"/>
                <w:szCs w:val="20"/>
              </w:rPr>
              <w:t>How can these governance challenges and their entry points be resolved?</w:t>
            </w:r>
          </w:p>
        </w:tc>
        <w:tc>
          <w:tcPr>
            <w:tcW w:w="8313" w:type="dxa"/>
          </w:tcPr>
          <w:p w14:paraId="28CCEE44" w14:textId="77777777" w:rsidR="005259D8" w:rsidRDefault="005259D8" w:rsidP="005259D8">
            <w:pPr>
              <w:numPr>
                <w:ilvl w:val="0"/>
                <w:numId w:val="3"/>
              </w:numPr>
              <w:contextualSpacing/>
              <w:jc w:val="both"/>
              <w:rPr>
                <w:rFonts w:ascii="Times New Roman" w:eastAsia="Times New Roman" w:hAnsi="Times New Roman" w:cs="Times New Roman"/>
                <w:sz w:val="20"/>
                <w:szCs w:val="20"/>
              </w:rPr>
            </w:pPr>
            <w:r w:rsidRPr="005259D8">
              <w:rPr>
                <w:rFonts w:ascii="Times New Roman" w:eastAsia="Times New Roman" w:hAnsi="Times New Roman" w:cs="Times New Roman"/>
                <w:sz w:val="20"/>
                <w:szCs w:val="20"/>
              </w:rPr>
              <w:t xml:space="preserve">What can be done to overcome these </w:t>
            </w:r>
            <w:r>
              <w:rPr>
                <w:rFonts w:ascii="Times New Roman" w:eastAsia="Times New Roman" w:hAnsi="Times New Roman" w:cs="Times New Roman"/>
                <w:sz w:val="20"/>
                <w:szCs w:val="20"/>
              </w:rPr>
              <w:t xml:space="preserve">governance </w:t>
            </w:r>
            <w:r w:rsidRPr="005259D8">
              <w:rPr>
                <w:rFonts w:ascii="Times New Roman" w:eastAsia="Times New Roman" w:hAnsi="Times New Roman" w:cs="Times New Roman"/>
                <w:sz w:val="20"/>
                <w:szCs w:val="20"/>
              </w:rPr>
              <w:t>challenges and support the</w:t>
            </w:r>
            <w:r>
              <w:rPr>
                <w:rFonts w:ascii="Times New Roman" w:eastAsia="Times New Roman" w:hAnsi="Times New Roman" w:cs="Times New Roman"/>
                <w:sz w:val="20"/>
                <w:szCs w:val="20"/>
              </w:rPr>
              <w:t xml:space="preserve"> effective design and implementation of future input subsidy </w:t>
            </w:r>
            <w:proofErr w:type="spellStart"/>
            <w:r>
              <w:rPr>
                <w:rFonts w:ascii="Times New Roman" w:eastAsia="Times New Roman" w:hAnsi="Times New Roman" w:cs="Times New Roman"/>
                <w:sz w:val="20"/>
                <w:szCs w:val="20"/>
              </w:rPr>
              <w:t>programmes</w:t>
            </w:r>
            <w:proofErr w:type="spellEnd"/>
            <w:r w:rsidRPr="005259D8">
              <w:rPr>
                <w:rFonts w:ascii="Times New Roman" w:eastAsia="Times New Roman" w:hAnsi="Times New Roman" w:cs="Times New Roman"/>
                <w:sz w:val="20"/>
                <w:szCs w:val="20"/>
              </w:rPr>
              <w:t>?</w:t>
            </w:r>
          </w:p>
          <w:p w14:paraId="28CCEE45" w14:textId="77777777" w:rsidR="005259D8" w:rsidRDefault="005259D8" w:rsidP="005259D8">
            <w:pPr>
              <w:numPr>
                <w:ilvl w:val="0"/>
                <w:numId w:val="3"/>
              </w:numPr>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What roles do the following actors need to play to bridge entry points for these challenges:</w:t>
            </w:r>
          </w:p>
          <w:p w14:paraId="28CCEE46" w14:textId="77777777" w:rsidR="005259D8" w:rsidRDefault="005259D8" w:rsidP="005259D8">
            <w:pPr>
              <w:numPr>
                <w:ilvl w:val="1"/>
                <w:numId w:val="3"/>
              </w:numPr>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Public actors</w:t>
            </w:r>
          </w:p>
          <w:p w14:paraId="28CCEE47" w14:textId="77777777" w:rsidR="005259D8" w:rsidRDefault="005259D8" w:rsidP="005259D8">
            <w:pPr>
              <w:numPr>
                <w:ilvl w:val="1"/>
                <w:numId w:val="3"/>
              </w:numPr>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Private actors</w:t>
            </w:r>
          </w:p>
          <w:p w14:paraId="28CCEE48" w14:textId="77777777" w:rsidR="005259D8" w:rsidRDefault="005259D8" w:rsidP="005259D8">
            <w:pPr>
              <w:numPr>
                <w:ilvl w:val="1"/>
                <w:numId w:val="3"/>
              </w:numPr>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Community actors</w:t>
            </w:r>
          </w:p>
        </w:tc>
        <w:tc>
          <w:tcPr>
            <w:tcW w:w="3118" w:type="dxa"/>
          </w:tcPr>
          <w:p w14:paraId="28CCEE49" w14:textId="77777777" w:rsidR="005259D8" w:rsidRPr="00BB01E1" w:rsidRDefault="005259D8" w:rsidP="00BB01E1">
            <w:pPr>
              <w:rPr>
                <w:rFonts w:ascii="Times New Roman" w:eastAsia="Calibri" w:hAnsi="Times New Roman" w:cs="Times New Roman"/>
                <w:sz w:val="20"/>
                <w:szCs w:val="20"/>
              </w:rPr>
            </w:pPr>
          </w:p>
        </w:tc>
      </w:tr>
    </w:tbl>
    <w:p w14:paraId="28CCEE4B" w14:textId="77777777" w:rsidR="00BB01E1" w:rsidRPr="00BB01E1" w:rsidRDefault="00BB01E1" w:rsidP="00BB01E1">
      <w:pPr>
        <w:spacing w:after="0" w:line="276" w:lineRule="auto"/>
        <w:jc w:val="both"/>
        <w:rPr>
          <w:rFonts w:ascii="Times New Roman" w:eastAsia="PMingLiU" w:hAnsi="Times New Roman" w:cs="Times New Roman"/>
          <w:b/>
          <w:bCs/>
          <w:sz w:val="24"/>
          <w:szCs w:val="20"/>
          <w:lang w:val="en-GB"/>
        </w:rPr>
      </w:pPr>
    </w:p>
    <w:bookmarkEnd w:id="0"/>
    <w:p w14:paraId="28CCEE4C" w14:textId="77777777" w:rsidR="00F967F4" w:rsidRDefault="00F967F4" w:rsidP="005B2D58">
      <w:pPr>
        <w:spacing w:after="0" w:line="276" w:lineRule="auto"/>
        <w:jc w:val="both"/>
        <w:rPr>
          <w:rFonts w:ascii="Times New Roman" w:eastAsia="Calibri" w:hAnsi="Times New Roman" w:cs="Times New Roman"/>
          <w:sz w:val="24"/>
        </w:rPr>
        <w:sectPr w:rsidR="00F967F4" w:rsidSect="006967EC">
          <w:pgSz w:w="16838" w:h="11906" w:orient="landscape"/>
          <w:pgMar w:top="1417" w:right="1417" w:bottom="1417" w:left="1134" w:header="708" w:footer="708" w:gutter="0"/>
          <w:cols w:space="708"/>
          <w:docGrid w:linePitch="360"/>
        </w:sectPr>
      </w:pPr>
    </w:p>
    <w:p w14:paraId="28CCEE4D" w14:textId="77777777" w:rsidR="00967553" w:rsidRDefault="005044C1" w:rsidP="00967553">
      <w:pPr>
        <w:pStyle w:val="Heading1"/>
        <w:rPr>
          <w:rFonts w:eastAsia="Times New Roman"/>
        </w:rPr>
      </w:pPr>
      <w:r>
        <w:rPr>
          <w:rFonts w:eastAsia="Times New Roman"/>
        </w:rPr>
        <w:lastRenderedPageBreak/>
        <w:t>Detailed explanation of the governance challenges in the ISP</w:t>
      </w:r>
    </w:p>
    <w:p w14:paraId="28CCEE4E" w14:textId="77777777" w:rsidR="00967553" w:rsidRPr="00CB509C" w:rsidRDefault="00967553" w:rsidP="00967553">
      <w:pPr>
        <w:keepNext/>
        <w:keepLines/>
        <w:spacing w:before="120" w:after="0" w:line="480" w:lineRule="auto"/>
        <w:outlineLvl w:val="1"/>
        <w:rPr>
          <w:rFonts w:ascii="Times New Roman" w:eastAsia="Times New Roman" w:hAnsi="Times New Roman" w:cs="Times New Roman"/>
          <w:b/>
          <w:bCs/>
          <w:sz w:val="26"/>
          <w:szCs w:val="26"/>
          <w:lang w:val="en-GB" w:eastAsia="de-DE"/>
        </w:rPr>
      </w:pPr>
      <w:r w:rsidRPr="00CB509C">
        <w:rPr>
          <w:rFonts w:ascii="Times New Roman" w:eastAsia="Times New Roman" w:hAnsi="Times New Roman" w:cs="Times New Roman"/>
          <w:b/>
          <w:bCs/>
          <w:sz w:val="26"/>
          <w:szCs w:val="26"/>
          <w:lang w:val="en-GB" w:eastAsia="de-DE"/>
        </w:rPr>
        <w:t>Governance challenges in input subsidy programmes</w:t>
      </w:r>
    </w:p>
    <w:p w14:paraId="28CCEE4F" w14:textId="37CB39AF" w:rsidR="00967553" w:rsidRPr="00CB509C" w:rsidRDefault="00967553" w:rsidP="00967553">
      <w:pPr>
        <w:spacing w:after="120" w:line="480" w:lineRule="auto"/>
        <w:jc w:val="both"/>
        <w:rPr>
          <w:rFonts w:ascii="Times New Roman" w:eastAsia="Times New Roman" w:hAnsi="Times New Roman" w:cs="Times New Roman"/>
          <w:sz w:val="24"/>
          <w:szCs w:val="24"/>
          <w:lang w:val="en-GB" w:eastAsia="de-DE"/>
        </w:rPr>
      </w:pPr>
      <w:r w:rsidRPr="00CB509C">
        <w:rPr>
          <w:rFonts w:ascii="Times New Roman" w:eastAsia="Times New Roman" w:hAnsi="Times New Roman" w:cs="Times New Roman"/>
          <w:sz w:val="24"/>
          <w:szCs w:val="24"/>
          <w:lang w:val="en-GB" w:eastAsia="de-DE"/>
        </w:rPr>
        <w:t xml:space="preserve">ISPs involve three types of governance structures (Figure 1): </w:t>
      </w:r>
      <w:bookmarkStart w:id="2" w:name="_Hlk75180694"/>
      <w:r w:rsidRPr="00CB509C">
        <w:rPr>
          <w:rFonts w:ascii="Times New Roman" w:eastAsia="Times New Roman" w:hAnsi="Times New Roman" w:cs="Times New Roman"/>
          <w:sz w:val="24"/>
          <w:szCs w:val="24"/>
          <w:lang w:val="en-GB" w:eastAsia="de-DE"/>
        </w:rPr>
        <w:t xml:space="preserve">government (state), </w:t>
      </w:r>
      <w:bookmarkStart w:id="3" w:name="_Hlk75179493"/>
      <w:r w:rsidRPr="00CB509C">
        <w:rPr>
          <w:rFonts w:ascii="Times New Roman" w:eastAsia="Times New Roman" w:hAnsi="Times New Roman" w:cs="Times New Roman"/>
          <w:sz w:val="24"/>
          <w:szCs w:val="24"/>
          <w:lang w:val="en-GB" w:eastAsia="de-DE"/>
        </w:rPr>
        <w:t>private (market)</w:t>
      </w:r>
      <w:bookmarkEnd w:id="3"/>
      <w:r w:rsidRPr="00CB509C">
        <w:rPr>
          <w:rFonts w:ascii="Times New Roman" w:eastAsia="Times New Roman" w:hAnsi="Times New Roman" w:cs="Times New Roman"/>
          <w:sz w:val="24"/>
          <w:szCs w:val="24"/>
          <w:lang w:val="en-GB" w:eastAsia="de-DE"/>
        </w:rPr>
        <w:t>, and third (community-based) sectors, each with its idiosyncratic governance challenges</w:t>
      </w:r>
      <w:bookmarkEnd w:id="2"/>
      <w:r w:rsidRPr="00CB509C">
        <w:rPr>
          <w:rFonts w:ascii="Times New Roman" w:eastAsia="Times New Roman" w:hAnsi="Times New Roman" w:cs="Times New Roman"/>
          <w:sz w:val="24"/>
          <w:szCs w:val="24"/>
          <w:lang w:val="en-GB" w:eastAsia="de-DE"/>
        </w:rPr>
        <w:t>. While state and market sectors dominate, the third sector</w:t>
      </w:r>
      <w:r w:rsidR="005044C1">
        <w:rPr>
          <w:rFonts w:ascii="Times New Roman" w:eastAsia="Times New Roman" w:hAnsi="Times New Roman" w:cs="Times New Roman"/>
          <w:sz w:val="24"/>
          <w:szCs w:val="24"/>
          <w:lang w:val="en-GB" w:eastAsia="de-DE"/>
        </w:rPr>
        <w:t>,</w:t>
      </w:r>
      <w:r w:rsidRPr="00CB509C">
        <w:rPr>
          <w:rFonts w:ascii="Times New Roman" w:eastAsia="Times New Roman" w:hAnsi="Times New Roman" w:cs="Times New Roman"/>
          <w:sz w:val="24"/>
          <w:szCs w:val="24"/>
          <w:lang w:val="en-GB" w:eastAsia="de-DE"/>
        </w:rPr>
        <w:t xml:space="preserve"> which includes non-governmental organi</w:t>
      </w:r>
      <w:r w:rsidR="009E5062">
        <w:rPr>
          <w:rFonts w:ascii="Times New Roman" w:eastAsia="Times New Roman" w:hAnsi="Times New Roman" w:cs="Times New Roman"/>
          <w:sz w:val="24"/>
          <w:szCs w:val="24"/>
          <w:lang w:val="en-GB" w:eastAsia="de-DE"/>
        </w:rPr>
        <w:t>z</w:t>
      </w:r>
      <w:r w:rsidRPr="00CB509C">
        <w:rPr>
          <w:rFonts w:ascii="Times New Roman" w:eastAsia="Times New Roman" w:hAnsi="Times New Roman" w:cs="Times New Roman"/>
          <w:sz w:val="24"/>
          <w:szCs w:val="24"/>
          <w:lang w:val="en-GB" w:eastAsia="de-DE"/>
        </w:rPr>
        <w:t>ations (NGOs) and farmer groups</w:t>
      </w:r>
      <w:r w:rsidR="005044C1">
        <w:rPr>
          <w:rFonts w:ascii="Times New Roman" w:eastAsia="Times New Roman" w:hAnsi="Times New Roman" w:cs="Times New Roman"/>
          <w:sz w:val="24"/>
          <w:szCs w:val="24"/>
          <w:lang w:val="en-GB" w:eastAsia="de-DE"/>
        </w:rPr>
        <w:t>,</w:t>
      </w:r>
      <w:r w:rsidRPr="00CB509C">
        <w:rPr>
          <w:rFonts w:ascii="Times New Roman" w:eastAsia="Times New Roman" w:hAnsi="Times New Roman" w:cs="Times New Roman"/>
          <w:sz w:val="24"/>
          <w:szCs w:val="24"/>
          <w:lang w:val="en-GB" w:eastAsia="de-DE"/>
        </w:rPr>
        <w:t xml:space="preserve"> intervenes to play complementary roles where public and private sectors fail to effectively implement ISPs. In the next subsections, we use perspectives from new institutional economics to pinpoint governance challenges in these sectors.</w:t>
      </w:r>
    </w:p>
    <w:p w14:paraId="28CCEE50" w14:textId="77777777" w:rsidR="00967553" w:rsidRPr="00CB509C" w:rsidRDefault="00967553" w:rsidP="00967553">
      <w:pPr>
        <w:keepNext/>
        <w:keepLines/>
        <w:spacing w:before="200" w:after="0" w:line="480" w:lineRule="auto"/>
        <w:jc w:val="both"/>
        <w:outlineLvl w:val="2"/>
        <w:rPr>
          <w:rFonts w:ascii="Times New Roman" w:eastAsia="Times New Roman" w:hAnsi="Times New Roman" w:cs="Times New Roman"/>
          <w:b/>
          <w:bCs/>
          <w:i/>
          <w:sz w:val="24"/>
          <w:lang w:val="en-GB" w:eastAsia="de-DE"/>
        </w:rPr>
      </w:pPr>
      <w:r w:rsidRPr="00CB509C">
        <w:rPr>
          <w:rFonts w:ascii="Times New Roman" w:eastAsia="Times New Roman" w:hAnsi="Times New Roman" w:cs="Times New Roman"/>
          <w:b/>
          <w:bCs/>
          <w:i/>
          <w:sz w:val="24"/>
          <w:lang w:val="en-GB" w:eastAsia="de-DE"/>
        </w:rPr>
        <w:t>Market failure in the input subsidy programme</w:t>
      </w:r>
    </w:p>
    <w:p w14:paraId="28CCEE51" w14:textId="77777777" w:rsidR="00967553" w:rsidRPr="00CB509C" w:rsidRDefault="00967553" w:rsidP="00967553">
      <w:pPr>
        <w:spacing w:after="120" w:line="480" w:lineRule="auto"/>
        <w:jc w:val="both"/>
        <w:rPr>
          <w:rFonts w:ascii="Times New Roman" w:eastAsia="Times New Roman" w:hAnsi="Times New Roman" w:cs="Times New Roman"/>
          <w:sz w:val="24"/>
          <w:szCs w:val="24"/>
          <w:lang w:val="en-GB" w:eastAsia="de-DE"/>
        </w:rPr>
      </w:pPr>
      <w:r w:rsidRPr="00CB509C">
        <w:rPr>
          <w:rFonts w:ascii="Times New Roman" w:eastAsia="Times New Roman" w:hAnsi="Times New Roman" w:cs="Times New Roman"/>
          <w:sz w:val="24"/>
          <w:szCs w:val="24"/>
          <w:lang w:val="en-GB" w:eastAsia="de-DE"/>
        </w:rPr>
        <w:t xml:space="preserve">Market failures ensue when the production system is unable to efficiently allocate resources and provide goods and services at levels considered optimal by society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{"citationItems":[{"id":"ITEM-1","itemData":{"abstract":"Many countries have recognized the need to revive agricultural advisory or extension services (the terms are used interchangeably here) as a means of using agriculture as an engine of pro-poor growth; reaching marginalized, poor, and female farmers; and addressing new challenges, such as environmental degradation and climate change. In spite of ample experience with extension reform worldwide, identifying the reform options most likely to make extension more demand-driven remains a major challenge. The concept of demand-driven services implies making extension more responsive to the needs of all farmers, including women and those who are poor and marginalized. It also implies making extension more accountable to farmers and, as a consequence, more effective. This essay discusses various options for providing and financing agricultural advisory services, which involve the public and private sectors as well as a third sector comprising nongovernmental organizations and farmer-based organizations. We review the market and state failures, and the “community” failures (failures of non-governmental and farmer-based organizations) inherent in existing models of providing and financing agricultural extension services and then outline strategies to address those failures and make extension demand-driven. Then we examine India’s Policy Framework for Agricultural Extension, which has demand-driven extension as one of its major objectives, and review available survey information on the state of extension in India. We conclude that although the framework proposes a wide range of strategies to make agricultural extension demand-driven, it is less specific in addressing the challenges inherent in those strategies. Moreover, it remains unclear whether the strategies proposed in the framework will be able to address one of the major problems identified by farm household surveys: access to agricultural extension.","author":[{"dropping-particle":"","family":"Birner","given":"Regina","non-dropping-particle":"","parse-names":false,"suffix":""},{"dropping-particle":"","family":"Anderson","given":"Jock R","non-dropping-particle":"","parse-names":false,"suffix":""}],"id":"ITEM-1","issue":"November","issued":{"date-parts":[["2007"]]},"number-of-pages":"-","title":"How to Make Agricultural Extension Demand-Driven?The Case of India's Agricultural Extension Policy","type":"report"},"uris":["http://www.mendeley.com/documents/?uuid=9b63c522-1109-42e6-9e7e-ac908274b471"]}],"mendeley":{"formattedCitation":"(Birner &amp; Anderson, 2007)","plainTextFormattedCitation":"(Birner &amp; Anderson, 2007)","previouslyFormattedCitation":"(Birner &amp; Anderson, 2007)"},"properties":{"noteIndex":0},"schema":"https://github.com/citation-style-language/schema/raw/master/csl-citation.json"}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(Birner &amp; Anderson, 2007)</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 xml:space="preserve">. In ISPs, market failure revolves around the nature of the market, goods, and exchange. It </w:t>
      </w:r>
      <w:r>
        <w:rPr>
          <w:rFonts w:ascii="Times New Roman" w:eastAsia="Times New Roman" w:hAnsi="Times New Roman" w:cs="Times New Roman"/>
          <w:sz w:val="24"/>
          <w:szCs w:val="24"/>
          <w:lang w:val="en-GB" w:eastAsia="de-DE"/>
        </w:rPr>
        <w:t>result</w:t>
      </w:r>
      <w:r w:rsidRPr="00CB509C">
        <w:rPr>
          <w:rFonts w:ascii="Times New Roman" w:eastAsia="Times New Roman" w:hAnsi="Times New Roman" w:cs="Times New Roman"/>
          <w:sz w:val="24"/>
          <w:szCs w:val="24"/>
          <w:lang w:val="en-GB" w:eastAsia="de-DE"/>
        </w:rPr>
        <w:t xml:space="preserve">s from externalities that affect the optimal functionality of the market system. ISPs drive the adoption and application of agricultural inputs among rural farmers, leading to positive externalities such as improved soil fertility, higher farm yields, and improved food security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{"citationItems":[{"id":"ITEM-1","itemData":{"ISBN":"0000000175","author":[{"dropping-particle":"","family":"Holden","given":"Stein T","non-dropping-particle":"","parse-names":false,"suffix":""}],"collection-title":"18","id":"ITEM-1","issue":"September","issued":{"date-parts":[["2018"]]},"number":"9","title":"The Economics of Fertilizer Subsidies","type":"report"},"uris":["http://www.mendeley.com/documents/?uuid=50a5c3d3-b57f-497a-bc92-7dd7b43f6dd5"]},{"id":"ITEM-2","itemData":{"DOI":"10.1016/j.worlddev.2017.04.021","ISSN":"18735991","abstract":"In an attempt to go beyond the so called “smart” subsidies, Nigeria has embarked on a potentially innovative mobile phone-based input subsidy program that provides fertilizer and improved seed subsidies through electronic vouchers. In this article, we examined the productivity and welfare effects of the program using household-level data from rural Nigeria. The article employed instrumental variable regression approach to control for the potential endogeneity of the input subsidy program. Our results suggest that the program is effective in improving productivity and welfare outcomes of beneficiary smallholders. The size of the estimated effects suggests a large improvement in productivity and welfare outcomes. Moreover, the distributional effects of the program suggest no heterogeneity effects based on gender and farm land size. These results are robust to using alternative measurements of program participation. The benefit–cost ratio of 1.11 suggests that the program is marginally cost-effective. Overall, our results suggest that while improving average productivity is a good outcome for improving food security, improving the distributional outcome of the program by targeting the most disadvantaged groups would maximize the program's contribution to food security and poverty reduction.","author":[{"dropping-particle":"","family":"Wossen","given":"Tesfamicheal","non-dropping-particle":"","parse-names":false,"suffix":""},{"dropping-particle":"","family":"Abdoulaye","given":"Tahirou","non-dropping-particle":"","parse-names":false,"suffix":""},{"dropping-particle":"","family":"Alene","given":"Arega","non-dropping-particle":"","parse-names":false,"suffix":""},{"dropping-particle":"","family":"Feleke","given":"Shiferaw","non-dropping-particle":"","parse-names":false,"suffix":""},{"dropping-particle":"","family":"Ricker-Gilbert","given":"Jacob","non-dropping-particle":"","parse-names":false,"suffix":""},{"dropping-particle":"","family":"Manyong","given":"Victor","non-dropping-particle":"","parse-names":false,"suffix":""},{"dropping-particle":"","family":"Awotide","given":"Bola Amoke","non-dropping-particle":"","parse-names":false,"suffix":""}],"container-title":"World Development","id":"ITEM-2","issued":{"date-parts":[["2017"]]},"page":"251-265","publisher":"The Authors","title":"Productivity and Welfare Effects of Nigeria's e-Voucher-Based Input Subsidy Program","type":"article-journal","volume":"97"},"uris":["http://www.mendeley.com/documents/?uuid=be9b3b40-5d32-4d18-a330-2ddeb00d02dd"]}],"mendeley":{"formattedCitation":"(Holden, 2018; Wossen et al., 2017)","plainTextFormattedCitation":"(Holden, 2018; Wossen et al., 2017)","previouslyFormattedCitation":"(Holden, 2018; Wossen et al., 2017)"},"properties":{"noteIndex":0},"schema":"https://github.com/citation-style-language/schema/raw/master/csl-citation.json"}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(Holden, 2018; Wossen et al., 2017)</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 xml:space="preserve">. With higher agricultural productivity and cultivated areas, and decreasing poverty levels, the private sector may become overwhelmed by higher demand for agricultural inputs, making it necessary for the government to intervene. ISP can also result in negative externalities such as pollution/acidification and loss of arable lands that, in turn, reduce demand for agricultural inputs and lessen the economic viability for the private sector to invest in ISPs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{"citationItems":[{"id":"ITEM-1","itemData":{"DOI":"10.1093/acprof:oso/9780199683529.001.0001","ISBN":"9780199683529","ISSN":"18255167","abstract":"Temporary employment has become a focus of policy debate, theory, and research. This book addresses the relationship between temporary employment contracts and employee well-being. It does so within the analytic framework of the psychological contract, and advances theory and knowledge about the psychological contract by exploring it from a variety of perspectives. It also sets the psychological contract within the context of a range of other potential influences on work-related well-being including workload, job insecurity, employability, and organizational support. The book identifies the relative importance of these various potential influences on well-being, covering seven countries; Belgium, Germany, The Netherlands, Spain, Sweden, and the UK, as well as Israel as a comparator outside Europe. The book's conclusions are interesting and controversial. The central finding is that contrary to expectations, temporary workers report higher well-being than permanent workers. As expected, a range of factors help to explain variations in work-related well-being and the research highlights the important role of the psychological contract. However, even after taking into account alternative explanations, the significant influence of type of employment contract remains, with temporary workers reporting higher well-being. In addition to this core finding, by exploring several aspects of the psychological contract, and taking into account both employer and employee perspectives, the book sheds light on the nature and role of the psychological contract. It also raises some challenging policy questions and while acknowledging the potentially precarious nature of temporary jobs, highlights the need to consider the increasingly demanding nature of permanent jobs and their effects on the well-being of employees.","author":[{"dropping-particle":"","family":"Chirwa","given":"Ephraim","non-dropping-particle":"","parse-names":false,"suffix":""},{"dropping-particle":"","family":"Dorward","given":"Andrew","non-dropping-particle":"","parse-names":false,"suffix":""}],"container-title":"Oxford Scholarship Online","id":"ITEM-1","issue":"1","issued":{"date-parts":[["2013","9","26"]]},"number-of-pages":"583-605","publisher":"Oxford University Press","title":"Agricultural Input Subsidies: The Recent Malawi Experience","type":"book","volume":"15"},"uris":["http://www.mendeley.com/documents/?uuid=6060e4f5-c61f-4d4d-9fca-b2546f76f0b9"]}],"mendeley":{"formattedCitation":"(Chirwa &amp; Dorward, 2013)","plainTextFormattedCitation":"(Chirwa &amp; Dorward, 2013)","previouslyFormattedCitation":"(Chirwa &amp; Dorward, 2013)"},"properties":{"noteIndex":0},"schema":"https://github.com/citation-style-language/schema/raw/master/csl-citation.json"}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(Chirwa &amp; Dorward, 2013)</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w:t>
      </w:r>
    </w:p>
    <w:p w14:paraId="28CCEE52" w14:textId="0A70CC3D" w:rsidR="00967553" w:rsidRPr="00CB509C" w:rsidRDefault="00967553" w:rsidP="00967553">
      <w:pPr>
        <w:spacing w:after="120" w:line="480" w:lineRule="auto"/>
        <w:jc w:val="both"/>
        <w:rPr>
          <w:rFonts w:ascii="Times New Roman" w:eastAsia="Times New Roman" w:hAnsi="Times New Roman" w:cs="Times New Roman"/>
          <w:sz w:val="24"/>
          <w:szCs w:val="24"/>
          <w:lang w:val="en-GB" w:eastAsia="de-DE"/>
        </w:rPr>
      </w:pPr>
      <w:r w:rsidRPr="00CB509C">
        <w:rPr>
          <w:rFonts w:ascii="Times New Roman" w:eastAsia="Times New Roman" w:hAnsi="Times New Roman" w:cs="Times New Roman"/>
          <w:sz w:val="24"/>
          <w:szCs w:val="24"/>
          <w:lang w:val="en-GB" w:eastAsia="de-DE"/>
        </w:rPr>
        <w:t xml:space="preserve">Another reason is exclusion brought on by the geographical distance between </w:t>
      </w:r>
      <w:proofErr w:type="spellStart"/>
      <w:r w:rsidRPr="00CB509C">
        <w:rPr>
          <w:rFonts w:ascii="Times New Roman" w:eastAsia="Times New Roman" w:hAnsi="Times New Roman" w:cs="Times New Roman"/>
          <w:sz w:val="24"/>
          <w:szCs w:val="24"/>
          <w:lang w:val="en-GB" w:eastAsia="de-DE"/>
        </w:rPr>
        <w:t>agro</w:t>
      </w:r>
      <w:proofErr w:type="spellEnd"/>
      <w:r w:rsidRPr="00CB509C">
        <w:rPr>
          <w:rFonts w:ascii="Times New Roman" w:eastAsia="Times New Roman" w:hAnsi="Times New Roman" w:cs="Times New Roman"/>
          <w:sz w:val="24"/>
          <w:szCs w:val="24"/>
          <w:lang w:val="en-GB" w:eastAsia="de-DE"/>
        </w:rPr>
        <w:t xml:space="preserve">-dealers in urban centres and recipients in rural areas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{"citationItems":[{"id":"ITEM-1","itemData":{"DOI":"10.1111/agec.12075","ISSN":"01695150","author":[{"dropping-particle":"","family":"Liverpool-Tasie","given":"Lenis Saweda O","non-dropping-particle":"","parse-names":false,"suffix":""},{"dropping-particle":"","family":"Takeshima","given":"Hiroyuki","non-dropping-particle":"","parse-names":false,"suffix":""}],"container-title":"Agricultural Economics (United Kingdom)","id":"ITEM-1","issue":"6","issued":{"date-parts":[["2013"]]},"page":"581-594","title":"Input promotion within a complex subsector: Fertilizer in Nigeria","type":"article-journal","volume":"44"},"uris":["http://www.mendeley.com/documents/?uuid=b5101a97-6bcf-4f33-a253-f15a3c3d1313"]}],"mendeley":{"formattedCitation":"(Liverpool-Tasie &amp; Takeshima, 2013)","manualFormatting":"(Liverpool-Tasie &amp; Takeshima, 2013)","plainTextFormattedCitation":"(Liverpool-Tasie &amp; Takeshima, 2013)","previouslyFormattedCitation":"(Liverpool-Tasie &amp; Takeshima, 2013)"},"properties":{"noteIndex":0},"schema":"https://github.com/citation-style-language/schema/raw/master/csl-citation.json"}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(Liverpool-Tasie &amp; Takeshima, 2013)</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 xml:space="preserve">. This has </w:t>
      </w:r>
      <w:r w:rsidRPr="00CB509C">
        <w:rPr>
          <w:rFonts w:ascii="Times New Roman" w:eastAsia="Times New Roman" w:hAnsi="Times New Roman" w:cs="Times New Roman"/>
          <w:i/>
          <w:sz w:val="24"/>
          <w:szCs w:val="24"/>
          <w:lang w:val="en-GB" w:eastAsia="de-DE"/>
        </w:rPr>
        <w:t>ex-</w:t>
      </w:r>
      <w:r w:rsidRPr="00CB509C">
        <w:rPr>
          <w:rFonts w:ascii="Times New Roman" w:eastAsia="Times New Roman" w:hAnsi="Times New Roman" w:cs="Times New Roman"/>
          <w:i/>
          <w:sz w:val="24"/>
          <w:szCs w:val="24"/>
          <w:lang w:val="en-GB" w:eastAsia="de-DE"/>
        </w:rPr>
        <w:lastRenderedPageBreak/>
        <w:t>ante</w:t>
      </w:r>
      <w:r w:rsidRPr="00CB509C">
        <w:rPr>
          <w:rFonts w:ascii="Times New Roman" w:eastAsia="Times New Roman" w:hAnsi="Times New Roman" w:cs="Times New Roman"/>
          <w:sz w:val="24"/>
          <w:szCs w:val="24"/>
          <w:lang w:val="en-GB" w:eastAsia="de-DE"/>
        </w:rPr>
        <w:t xml:space="preserve"> and </w:t>
      </w:r>
      <w:r w:rsidRPr="00CB509C">
        <w:rPr>
          <w:rFonts w:ascii="Times New Roman" w:eastAsia="Times New Roman" w:hAnsi="Times New Roman" w:cs="Times New Roman"/>
          <w:i/>
          <w:sz w:val="24"/>
          <w:szCs w:val="24"/>
          <w:lang w:val="en-GB" w:eastAsia="de-DE"/>
        </w:rPr>
        <w:t>ex-post</w:t>
      </w:r>
      <w:r w:rsidRPr="00CB509C">
        <w:rPr>
          <w:rFonts w:ascii="Times New Roman" w:eastAsia="Times New Roman" w:hAnsi="Times New Roman" w:cs="Times New Roman"/>
          <w:sz w:val="24"/>
          <w:szCs w:val="24"/>
          <w:lang w:val="en-GB" w:eastAsia="de-DE"/>
        </w:rPr>
        <w:t xml:space="preserve"> implications for the agricultural input markets. First, the geographical marginali</w:t>
      </w:r>
      <w:r w:rsidR="009E5062">
        <w:rPr>
          <w:rFonts w:ascii="Times New Roman" w:eastAsia="Times New Roman" w:hAnsi="Times New Roman" w:cs="Times New Roman"/>
          <w:sz w:val="24"/>
          <w:szCs w:val="24"/>
          <w:lang w:val="en-GB" w:eastAsia="de-DE"/>
        </w:rPr>
        <w:t>z</w:t>
      </w:r>
      <w:r w:rsidRPr="00CB509C">
        <w:rPr>
          <w:rFonts w:ascii="Times New Roman" w:eastAsia="Times New Roman" w:hAnsi="Times New Roman" w:cs="Times New Roman"/>
          <w:sz w:val="24"/>
          <w:szCs w:val="24"/>
          <w:lang w:val="en-GB" w:eastAsia="de-DE"/>
        </w:rPr>
        <w:t xml:space="preserve">ation of rural farmers and </w:t>
      </w:r>
      <w:r w:rsidR="005044C1">
        <w:rPr>
          <w:rFonts w:ascii="Times New Roman" w:eastAsia="Times New Roman" w:hAnsi="Times New Roman" w:cs="Times New Roman"/>
          <w:sz w:val="24"/>
          <w:szCs w:val="24"/>
          <w:lang w:val="en-GB" w:eastAsia="de-DE"/>
        </w:rPr>
        <w:t xml:space="preserve">the </w:t>
      </w:r>
      <w:r w:rsidRPr="00CB509C">
        <w:rPr>
          <w:rFonts w:ascii="Times New Roman" w:eastAsia="Times New Roman" w:hAnsi="Times New Roman" w:cs="Times New Roman"/>
          <w:sz w:val="24"/>
          <w:szCs w:val="24"/>
          <w:lang w:val="en-GB" w:eastAsia="de-DE"/>
        </w:rPr>
        <w:t xml:space="preserve">lack of accurate data make it difficult for private </w:t>
      </w:r>
      <w:proofErr w:type="spellStart"/>
      <w:r w:rsidRPr="00CB509C">
        <w:rPr>
          <w:rFonts w:ascii="Times New Roman" w:eastAsia="Times New Roman" w:hAnsi="Times New Roman" w:cs="Times New Roman"/>
          <w:sz w:val="24"/>
          <w:szCs w:val="24"/>
          <w:lang w:val="en-GB" w:eastAsia="de-DE"/>
        </w:rPr>
        <w:t>agro</w:t>
      </w:r>
      <w:proofErr w:type="spellEnd"/>
      <w:r w:rsidRPr="00CB509C">
        <w:rPr>
          <w:rFonts w:ascii="Times New Roman" w:eastAsia="Times New Roman" w:hAnsi="Times New Roman" w:cs="Times New Roman"/>
          <w:sz w:val="24"/>
          <w:szCs w:val="24"/>
          <w:lang w:val="en-GB" w:eastAsia="de-DE"/>
        </w:rPr>
        <w:t xml:space="preserve">-dealers to ascertain the actual demand for agricultural inputs. Such uncertainty may widen the supply-demand gap for major agricultural inputs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{"citationItems":[{"id":"ITEM-1","itemData":{"DOI":"10.1016/j.foodpol.2018.01.003","ISSN":"03069192","abstract":"Input subsidy programs (ISPs) remain one of the most contentiously debated development issues in sub-Saharan Africa (SSA). After ISPs were phased out during the 1980s and 1990s, the landscape has changed profoundly since the early 2000s. By 2010, at least 10 African governments initiated a new wave of subsidy programs that were designed to overcome past performance challenges. This study provides the most comprehensive review of recent evidence to date regarding the performance of these second generation ISPs, synthesizing nearly 80 ISP-related studies from seven countries (Ghana, Nigeria, Kenya, Tanzania, Malawi, Zambia, and Ethiopia). We specifically evaluate ISP impacts on total fertilizer use, food production, commercial input distribution systems, food prices, wages, and poverty. We also consider measures that could enable ISPs to more cost-effectively achieve their objectives. We find that ISPs can quickly raise national food production, and that receiving subsidized inputs raises beneficiary households’ grain yields and production levels at least in the short-term. However, the overall production and welfare effects of subsidy programs tend to be smaller than expected. Two characteristics of program implementation consistently mitigate the intended effects of ISPs: (1) subsidy programs partially crowd out commercial fertilizer demand due to difficulties associated with targeting and sale of inputs by program implementers, and (2) lower than expected crop yield response to fertilizer on smallholder-managed fields. If these challenges could be addressed, ISPs could more effectively mitigate the concurrent challenges of rapid population growth and climate change in SSA.","author":[{"dropping-particle":"","family":"Jayne","given":"Thomas S.","non-dropping-particle":"","parse-names":false,"suffix":""},{"dropping-particle":"","family":"Ason","given":"Nicole M.","non-dropping-particle":"","parse-names":false,"suffix":""},{"dropping-particle":"","family":"Burke","given":"William J.","non-dropping-particle":"","parse-names":false,"suffix":""},{"dropping-particle":"","family":"Ariga","given":"Joshua","non-dropping-particle":"","parse-names":false,"suffix":""}],"container-title":"Food Policy","id":"ITEM-1","issue":"February","issued":{"date-parts":[["2018"]]},"page":"1-14","publisher":"Elsevier","title":"Review: Taking stock of Africa's second-generation agricultural input subsidy programs","type":"article-journal","volume":"75"},"uris":["http://www.mendeley.com/documents/?uuid=13702d9e-9a21-466f-b5d9-518038b6ee54"]}],"mendeley":{"formattedCitation":"(Thomas S. Jayne et al., 2018)","manualFormatting":"(Jayne et al., 2018)","plainTextFormattedCitation":"(Thomas S. Jayne et al., 2018)","previouslyFormattedCitation":"(Thomas S. Jayne et al., 2018)"},"properties":{"noteIndex":0},"schema":"https://github.com/citation-style-language/schema/raw/master/csl-citation.json"}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(Jayne et al., 2018)</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 xml:space="preserve">. Second, geographically distant recipients and </w:t>
      </w:r>
      <w:proofErr w:type="spellStart"/>
      <w:r w:rsidRPr="00CB509C">
        <w:rPr>
          <w:rFonts w:ascii="Times New Roman" w:eastAsia="Times New Roman" w:hAnsi="Times New Roman" w:cs="Times New Roman"/>
          <w:sz w:val="24"/>
          <w:szCs w:val="24"/>
          <w:lang w:val="en-GB" w:eastAsia="de-DE"/>
        </w:rPr>
        <w:t>agro</w:t>
      </w:r>
      <w:proofErr w:type="spellEnd"/>
      <w:r w:rsidRPr="00CB509C">
        <w:rPr>
          <w:rFonts w:ascii="Times New Roman" w:eastAsia="Times New Roman" w:hAnsi="Times New Roman" w:cs="Times New Roman"/>
          <w:sz w:val="24"/>
          <w:szCs w:val="24"/>
          <w:lang w:val="en-GB" w:eastAsia="de-DE"/>
        </w:rPr>
        <w:t>-dealers incur higher transportation and transaction costs</w:t>
      </w:r>
      <w:r w:rsidR="005044C1">
        <w:rPr>
          <w:rFonts w:ascii="Times New Roman" w:eastAsia="Times New Roman" w:hAnsi="Times New Roman" w:cs="Times New Roman"/>
          <w:sz w:val="24"/>
          <w:szCs w:val="24"/>
          <w:lang w:val="en-GB" w:eastAsia="de-DE"/>
        </w:rPr>
        <w:t>,</w:t>
      </w:r>
      <w:r w:rsidRPr="00CB509C">
        <w:rPr>
          <w:rFonts w:ascii="Times New Roman" w:eastAsia="Times New Roman" w:hAnsi="Times New Roman" w:cs="Times New Roman"/>
          <w:sz w:val="24"/>
          <w:szCs w:val="24"/>
          <w:lang w:val="en-GB" w:eastAsia="de-DE"/>
        </w:rPr>
        <w:t xml:space="preserve"> which make investments in SISP unprofitable for private </w:t>
      </w:r>
      <w:proofErr w:type="spellStart"/>
      <w:r w:rsidRPr="00CB509C">
        <w:rPr>
          <w:rFonts w:ascii="Times New Roman" w:eastAsia="Times New Roman" w:hAnsi="Times New Roman" w:cs="Times New Roman"/>
          <w:sz w:val="24"/>
          <w:szCs w:val="24"/>
          <w:lang w:val="en-GB" w:eastAsia="de-DE"/>
        </w:rPr>
        <w:t>agro</w:t>
      </w:r>
      <w:proofErr w:type="spellEnd"/>
      <w:r w:rsidRPr="00CB509C">
        <w:rPr>
          <w:rFonts w:ascii="Times New Roman" w:eastAsia="Times New Roman" w:hAnsi="Times New Roman" w:cs="Times New Roman"/>
          <w:sz w:val="24"/>
          <w:szCs w:val="24"/>
          <w:lang w:val="en-GB" w:eastAsia="de-DE"/>
        </w:rPr>
        <w:t xml:space="preserve">-dealers and the targeting of rural recipients difficult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ISBN":"2564142850","author":[{"dropping-particle":"","family":"Birner","given":"Regina","non-dropping-particle":"","parse-names":false,"suffix":""},{"dropping-particle":"","family":"Cohen","given":"Marc","non-dropping-particle":"","parse-names":false,"suffix":""},{"dropping-particle":"","family":"Ilukor","given":"John","non-dropping-particle":"","parse-names":false,"suffix":""}],"container-title":"IFPRI Discussion Papers","id":"ITEM-1","issue":"September","issued":{"date-parts":[["2010"]]},"number-of-pages":"1-40","title":"Rebuilding Agricultural Livelihoods in Post-Conflict Situations: What are the Governance Challenges? The Case of Northern Uganda","type":"report"},"uris":["http://www.mendeley.com/documents/?uuid=abf13026-e050-417f-be58-6423dbe61714"]},{"id":"ITEM-2","itemData":{"DOI":"10.1016/j.foodpol.2016.09.011","ISSN":"03069192","abstract":"Inorganic fertilizer use across Sub-Saharan Africa is generally considered to be low. Yet, the notion that fertilizer use is too low is predicated on the assumption that it is profitable to use rates higher than currently observed. There is, however, limited empirical evidence to support this. Using a nationally representative panel dataset, this paper empirically estimates the profitability of fertilizer use for maize production in Nigeria. We find that fertilizer use in Nigeria is not as low as conventional wisdom suggests. Low marginal physical product and high transportation costs significantly reduce the profitability of fertilizer use. Apart from reduced transportation costs, other constraints such as soil quality, timely access to the product, and availability of complementary inputs such as improved seeds, irrigation and credit, as well as good management practices are also necessary for sustained agricultural productivity improvements.","author":[{"dropping-particle":"","family":"Liverpool-Tasie","given":"Lenis Saweda O.","non-dropping-particle":"","parse-names":false,"suffix":""},{"dropping-particle":"","family":"Omonona","given":"Bolarin T.","non-dropping-particle":"","parse-names":false,"suffix":""},{"dropping-particle":"","family":"Sanou","given":"Awa","non-dropping-particle":"","parse-names":false,"suffix":""},{"dropping-particle":"","family":"Ogunleye","given":"Wale O.","non-dropping-particle":"","parse-names":false,"suffix":""}],"container-title":"Food Policy","id":"ITEM-2","issued":{"date-parts":[["2017"]]},"page":"41-51","title":"Is increasing inorganic fertilizer use for maize production in SSA a profitable proposition? Evidence from Nigeria","type":"article-journal","volume":"67"},"uris":["http://www.mendeley.com/documents/?uuid=a39b1a3f-90fb-4330-983e-809ca6dede46"]},{"id":"ITEM-3","itemData":{"DOI":"10.1016/j.jrurstud.2015.05.004","ISSN":"07430167","abstract":"The economic importance of the private sector, such as the contribution of businesses to Gross Domestic Product or to employment creation, is well recognised in research and policy. In the context of significant economic, social and environmental changes such as the economic downturn, public spending cuts, an ageing population and climate change, the broader social and environmental contributions of the private sector to local resilience have begun to be recognised by researchers and policy-makers. However, we lack a detailed understanding of the nature of, and motivations for, these different contributions.This paper discusses the findings of a case study in South Australia which aimed to enhance our understanding of the role of private sector enterprises in local development and resilience. In particular, this article explores What, How and Why questions: What are the economic and social contributions of rural businesses to local resilience?, How are these contributions made? and Why do business owners make these contributions?The findings reveal that rural businesses contribute to local resilience in both direct and indirect ways. Direct contributions include, for example, the creation of local employment and local product and service delivery. Indirect contributions can be understood as the knock-on effect or added value of primary business activities. For example, the provision of employment opportunities helps to reduce the risk of out-migration and depopulation. With reference to the concept of embeddedness, the study demonstrates the importance of the rural context in shaping the behaviour of rural business owners and encouraging them to operate in economically, socially and environmentally responsible ways. However, this is not a passive relationship; rural business owners have the motivation and resources to respond to specific local challenges, opportunities and characteristics, and to proactively and skilfully turn them into entrepreneurial opportunities. As such, they become part of the adaptation process, acting as agents of change in supporting rural resilience. This adaptation process contributes to enhanced community resilience which enables the modification of existing structures and the seeking of solutions to economic, social and environmental challenges.","author":[{"dropping-particle":"","family":"Steiner","given":"Artur","non-dropping-particle":"","parse-names":false,"suffix":""},{"dropping-particle":"","family":"Atterton","given":"Jane","non-dropping-particle":"","parse-names":false,"suffix":""}],"container-title":"Journal of Rural Studies","id":"ITEM-3","issued":{"date-parts":[["2015"]]},"page":"30-45","publisher":"Elsevier Ltd","title":"Exploring the contribution of rural enterprises to local resilience","type":"article-journal","volume":"40"},"uris":["http://www.mendeley.com/documents/?uuid=7a758c5c-6c48-4af3-b679-331f3cda3437"]}],"mendeley":{"formattedCitation":"(Birner et al., 2010; Liverpool-Tasie et al., 2017; Steiner &amp; Atterton, 2015)","plainTextFormattedCitation":"(Birner et al., 2010; Liverpool-Tasie et al., 2017; Steiner &amp; Atterton, 2015)","previouslyFormattedCitation":"(Birner et al., 2010; Liverpool-Tasie et al., 2017)"},"properties":{"noteIndex":0},"schema":"https://github.com/citation-style-language/schema/raw/master/csl-citation.json"}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(Birner et al., 2010; Liverpool-Tasie et al., 2017; Steiner &amp; Atterton, 2015)</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 xml:space="preserve">. </w:t>
      </w:r>
    </w:p>
    <w:p w14:paraId="28CCEE53" w14:textId="2457F596" w:rsidR="00967553" w:rsidRPr="00CB509C" w:rsidRDefault="00967553" w:rsidP="00967553">
      <w:pPr>
        <w:spacing w:after="120" w:line="480" w:lineRule="auto"/>
        <w:jc w:val="both"/>
        <w:rPr>
          <w:rFonts w:ascii="Times New Roman" w:eastAsia="Times New Roman" w:hAnsi="Times New Roman" w:cs="Times New Roman"/>
          <w:sz w:val="24"/>
          <w:szCs w:val="24"/>
          <w:lang w:val="en-GB" w:eastAsia="de-DE"/>
        </w:rPr>
      </w:pPr>
      <w:r w:rsidRPr="00CB509C">
        <w:rPr>
          <w:rFonts w:ascii="Times New Roman" w:eastAsia="Times New Roman" w:hAnsi="Times New Roman" w:cs="Times New Roman"/>
          <w:sz w:val="24"/>
          <w:szCs w:val="24"/>
          <w:lang w:val="en-GB" w:eastAsia="de-DE"/>
        </w:rPr>
        <w:t xml:space="preserve">Also, governments in SSA often view ISPs as political instruments, which makes the upscaling, downscaling, and exiting problematic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{"citationItems":[{"id":"ITEM-1","itemData":{"ISBN":"0000000175","author":[{"dropping-particle":"","family":"Holden","given":"Stein T","non-dropping-particle":"","parse-names":false,"suffix":""}],"collection-title":"18","id":"ITEM-1","issue":"September","issued":{"date-parts":[["2018"]]},"number":"9","title":"The Economics of Fertilizer Subsidies","type":"report"},"uris":["http://www.mendeley.com/documents/?uuid=50a5c3d3-b57f-497a-bc92-7dd7b43f6dd5"]}],"mendeley":{"formattedCitation":"(Holden, 2018)","plainTextFormattedCitation":"(Holden, 2018)","previouslyFormattedCitation":"(Holden, 2018)"},"properties":{"noteIndex":0},"schema":"https://github.com/citation-style-language/schema/raw/master/csl-citation.json"}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(Holden, 2018)</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 xml:space="preserve">. In SSA, ISPs are perpetual because of rent-seeking and political manipulation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{"citationItems":[{"id":"ITEM-1","itemData":{"DOI":"10.1016/j.worlddev.2012.04.012","ISSN":"0305750X","abstract":"Through decentralized targeting of input vouchers new agricultural input subsidy programs aim to more effectively reach their objectives and target population. But, lingering fears of elite capture remain. These are borne out in the 2009 input voucher program in Kilimanjaro, Tanzania. Sixty percent of the voucher beneficiaries were households with village officials. This significantly reduced the targeting performance of the program, especially in unequal and remote communities. When targeting the poor, greater coverage and concentration in higher trust settings mitigated these concerns. Scrutiny remains important when relying on decentralized targeting, as is a clearer sense of purpose of input vouchers. © 2012 Elsevier Ltd.","author":[{"dropping-particle":"","family":"Pan","given":"Lei","non-dropping-particle":"","parse-names":false,"suffix":""},{"dropping-particle":"","family":"Christiaensen","given":"Luc","non-dropping-particle":"","parse-names":false,"suffix":""}],"container-title":"World Development","id":"ITEM-1","issue":"8","issued":{"date-parts":[["2012"]]},"page":"1619-1633","publisher":"Elsevier Ltd","title":"Who is Vouching for the Input Voucher? Decentralized Targeting and Elite Capture in Tanzania","type":"article-journal","volume":"40"},"uris":["http://www.mendeley.com/documents/?uuid=630bfbba-a8dc-479b-9712-6322b9b2b015"]}],"mendeley":{"formattedCitation":"(Pan &amp; Christiaensen, 2012)","plainTextFormattedCitation":"(Pan &amp; Christiaensen, 2012)","previouslyFormattedCitation":"(Pan &amp; Christiaensen, 2012)"},"properties":{"noteIndex":0},"schema":"https://github.com/citation-style-language/schema/raw/master/csl-citation.json"}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(Pan &amp; Christiaensen, 2012)</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 However, input subsidy and political involvement undermine the functioning of input market systems by dislodging unsubsidi</w:t>
      </w:r>
      <w:r w:rsidR="009E5062">
        <w:rPr>
          <w:rFonts w:ascii="Times New Roman" w:eastAsia="Times New Roman" w:hAnsi="Times New Roman" w:cs="Times New Roman"/>
          <w:sz w:val="24"/>
          <w:szCs w:val="24"/>
          <w:lang w:val="en-GB" w:eastAsia="de-DE"/>
        </w:rPr>
        <w:t>z</w:t>
      </w:r>
      <w:r w:rsidRPr="00CB509C">
        <w:rPr>
          <w:rFonts w:ascii="Times New Roman" w:eastAsia="Times New Roman" w:hAnsi="Times New Roman" w:cs="Times New Roman"/>
          <w:sz w:val="24"/>
          <w:szCs w:val="24"/>
          <w:lang w:val="en-GB" w:eastAsia="de-DE"/>
        </w:rPr>
        <w:t xml:space="preserve">ed inputs and restricting market prices and volumes. Also, government involvement increases uncertainty about ISP design and implementation </w:t>
      </w:r>
      <w:r>
        <w:rPr>
          <w:rFonts w:ascii="Times New Roman" w:eastAsia="Times New Roman" w:hAnsi="Times New Roman" w:cs="Times New Roman"/>
          <w:sz w:val="24"/>
          <w:szCs w:val="24"/>
          <w:lang w:val="en-GB" w:eastAsia="de-DE"/>
        </w:rPr>
        <w:t>and</w:t>
      </w:r>
      <w:r w:rsidRPr="00CB509C">
        <w:rPr>
          <w:rFonts w:ascii="Times New Roman" w:eastAsia="Times New Roman" w:hAnsi="Times New Roman" w:cs="Times New Roman"/>
          <w:sz w:val="24"/>
          <w:szCs w:val="24"/>
          <w:lang w:val="en-GB" w:eastAsia="de-DE"/>
        </w:rPr>
        <w:t xml:space="preserve"> discourages risk-averse </w:t>
      </w:r>
      <w:proofErr w:type="spellStart"/>
      <w:r w:rsidRPr="00CB509C">
        <w:rPr>
          <w:rFonts w:ascii="Times New Roman" w:eastAsia="Times New Roman" w:hAnsi="Times New Roman" w:cs="Times New Roman"/>
          <w:sz w:val="24"/>
          <w:szCs w:val="24"/>
          <w:lang w:val="en-GB" w:eastAsia="de-DE"/>
        </w:rPr>
        <w:t>agro</w:t>
      </w:r>
      <w:proofErr w:type="spellEnd"/>
      <w:r w:rsidRPr="00CB509C">
        <w:rPr>
          <w:rFonts w:ascii="Times New Roman" w:eastAsia="Times New Roman" w:hAnsi="Times New Roman" w:cs="Times New Roman"/>
          <w:sz w:val="24"/>
          <w:szCs w:val="24"/>
          <w:lang w:val="en-GB" w:eastAsia="de-DE"/>
        </w:rPr>
        <w:t xml:space="preserve">-dealers from investing in ISP, procuring inputs, and accepting vouchers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{"citationItems":[{"id":"ITEM-1","itemData":{"DOI":"10.1111/agec.12075","ISSN":"01695150","author":[{"dropping-particle":"","family":"Liverpool-Tasie","given":"Lenis Saweda O","non-dropping-particle":"","parse-names":false,"suffix":""},{"dropping-particle":"","family":"Takeshima","given":"Hiroyuki","non-dropping-particle":"","parse-names":false,"suffix":""}],"container-title":"Agricultural Economics (United Kingdom)","id":"ITEM-1","issue":"6","issued":{"date-parts":[["2013"]]},"page":"581-594","title":"Input promotion within a complex subsector: Fertilizer in Nigeria","type":"article-journal","volume":"44"},"uris":["http://www.mendeley.com/documents/?uuid=b5101a97-6bcf-4f33-a253-f15a3c3d1313"]}],"mendeley":{"formattedCitation":"(Liverpool-Tasie &amp; Takeshima, 2013)","manualFormatting":"(Liverpool-Tasie &amp; Takeshima, 2013)","plainTextFormattedCitation":"(Liverpool-Tasie &amp; Takeshima, 2013)","previouslyFormattedCitation":"(Liverpool-Tasie &amp; Takeshima, 2013)"},"properties":{"noteIndex":0},"schema":"https://github.com/citation-style-language/schema/raw/master/csl-citation.json"}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(Liverpool-Tasie &amp; Takeshima, 2013)</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 xml:space="preserve">. Equally, inefficient subsidy administration processes and poor targeting allow rent-seeking actors to exclude and crowd out competitive </w:t>
      </w:r>
      <w:proofErr w:type="spellStart"/>
      <w:r w:rsidRPr="00CB509C">
        <w:rPr>
          <w:rFonts w:ascii="Times New Roman" w:eastAsia="Times New Roman" w:hAnsi="Times New Roman" w:cs="Times New Roman"/>
          <w:sz w:val="24"/>
          <w:szCs w:val="24"/>
          <w:lang w:val="en-GB" w:eastAsia="de-DE"/>
        </w:rPr>
        <w:t>agro</w:t>
      </w:r>
      <w:proofErr w:type="spellEnd"/>
      <w:r w:rsidRPr="00CB509C">
        <w:rPr>
          <w:rFonts w:ascii="Times New Roman" w:eastAsia="Times New Roman" w:hAnsi="Times New Roman" w:cs="Times New Roman"/>
          <w:sz w:val="24"/>
          <w:szCs w:val="24"/>
          <w:lang w:val="en-GB" w:eastAsia="de-DE"/>
        </w:rPr>
        <w:t xml:space="preserve">-suppliers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{"citationItems":[{"id":"ITEM-1","itemData":{"DOI":"10.1111/agec.12114","ISSN":"15740862","abstract":"This article estimates the effect of a fertilizer voucher program on farmer participation in the private fertilizer market in Nigeria. Using a double-hurdle model (to address corner solution challenges with estimating input demand) and a control function approach (to account for the endogeneity of subsidized fertilizer acquired), the study finds evidence that receiving subsidized fertilizer in Kano, Nigeria increased both the probability and extent of participation in the private fertilizer market. Findings demonstrate that under certain circumstances, e.g., where input dealers’ links to farmer are weak; there could be significant gains from the temporary use of voucher programs to strengthen such links.","author":[{"dropping-particle":"","family":"Liverpool-Tasie","given":"Lenis Saweda O.","non-dropping-particle":"","parse-names":false,"suffix":""}],"container-title":"Agricultural Economics (United Kingdom)","id":"ITEM-1","issue":"6","issued":{"date-parts":[["2014"]]},"page":"663-678","title":"Fertilizer subsidies and private market participation: The case of Kano State, Nigeria","type":"article-journal","volume":"45"},"uris":["http://www.mendeley.com/documents/?uuid=6e59263c-3268-4554-bca9-17e8361066ea"]}],"mendeley":{"formattedCitation":"(Liverpool-Tasie, 2014b)","manualFormatting":"(Liverpool-Tasie, 2014b)","plainTextFormattedCitation":"(Liverpool-Tasie, 2014b)","previouslyFormattedCitation":"(Liverpool-Tasie, 2014b)"},"properties":{"noteIndex":0},"schema":"https://github.com/citation-style-language/schema/raw/master/csl-citation.json"}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(Liverpool-Tasie, 2014b)</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w:t>
      </w:r>
    </w:p>
    <w:p w14:paraId="28CCEE54" w14:textId="5D754286" w:rsidR="00967553" w:rsidRPr="00CB509C" w:rsidRDefault="00967553" w:rsidP="00967553">
      <w:pPr>
        <w:spacing w:after="120" w:line="480" w:lineRule="auto"/>
        <w:jc w:val="both"/>
        <w:rPr>
          <w:rFonts w:ascii="Times New Roman" w:eastAsia="Times New Roman" w:hAnsi="Times New Roman" w:cs="Times New Roman"/>
          <w:sz w:val="24"/>
          <w:szCs w:val="24"/>
          <w:lang w:val="en-GB" w:eastAsia="de-DE"/>
        </w:rPr>
      </w:pPr>
      <w:r w:rsidRPr="00CB509C">
        <w:rPr>
          <w:rFonts w:ascii="Times New Roman" w:eastAsia="Times New Roman" w:hAnsi="Times New Roman" w:cs="Times New Roman"/>
          <w:sz w:val="24"/>
          <w:szCs w:val="24"/>
          <w:lang w:val="en-GB" w:eastAsia="de-DE"/>
        </w:rPr>
        <w:t xml:space="preserve">Input distribution and adoption through ISPs come with a learning process. Hence, input demand may be lower in the early stage because expected benefits and initial returns are low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{"citationItems":[{"id":"ITEM-1","itemData":{"DOI":"10.1093/acprof:oso/9780199683529.001.0001","ISBN":"9780199683529","ISSN":"18255167","abstract":"Temporary employment has become a focus of policy debate, theory, and research. This book addresses the relationship between temporary employment contracts and employee well-being. It does so within the analytic framework of the psychological contract, and advances theory and knowledge about the psychological contract by exploring it from a variety of perspectives. It also sets the psychological contract within the context of a range of other potential influences on work-related well-being including workload, job insecurity, employability, and organizational support. The book identifies the relative importance of these various potential influences on well-being, covering seven countries; Belgium, Germany, The Netherlands, Spain, Sweden, and the UK, as well as Israel as a comparator outside Europe. The book's conclusions are interesting and controversial. The central finding is that contrary to expectations, temporary workers report higher well-being than permanent workers. As expected, a range of factors help to explain variations in work-related well-being and the research highlights the important role of the psychological contract. However, even after taking into account alternative explanations, the significant influence of type of employment contract remains, with temporary workers reporting higher well-being. In addition to this core finding, by exploring several aspects of the psychological contract, and taking into account both employer and employee perspectives, the book sheds light on the nature and role of the psychological contract. It also raises some challenging policy questions and while acknowledging the potentially precarious nature of temporary jobs, highlights the need to consider the increasingly demanding nature of permanent jobs and their effects on the well-being of employees.","author":[{"dropping-particle":"","family":"Chirwa","given":"Ephraim","non-dropping-particle":"","parse-names":false,"suffix":""},{"dropping-particle":"","family":"Dorward","given":"Andrew","non-dropping-particle":"","parse-names":false,"suffix":""}],"container-title":"Oxford Scholarship Online","id":"ITEM-1","issue":"1","issued":{"date-parts":[["2013","9","26"]]},"number-of-pages":"583-605","publisher":"Oxford University Press","title":"Agricultural Input Subsidies: The Recent Malawi Experience","type":"book","volume":"15"},"uris":["http://www.mendeley.com/documents/?uuid=6060e4f5-c61f-4d4d-9fca-b2546f76f0b9"]}],"mendeley":{"formattedCitation":"(Chirwa &amp; Dorward, 2013)","plainTextFormattedCitation":"(Chirwa &amp; Dorward, 2013)","previouslyFormattedCitation":"(Chirwa &amp; Dorward, 2013)"},"properties":{"noteIndex":0},"schema":"https://github.com/citation-style-language/schema/raw/master/csl-citation.json"}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(Chirwa &amp; Dorward, 2013)</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 However, as agricultural inputs become affordable and farmers get exposed to their utilisation and efficiency, farmers can be induced to participate in the private input market, and demand higher subsidi</w:t>
      </w:r>
      <w:r w:rsidR="009E5062">
        <w:rPr>
          <w:rFonts w:ascii="Times New Roman" w:eastAsia="Times New Roman" w:hAnsi="Times New Roman" w:cs="Times New Roman"/>
          <w:sz w:val="24"/>
          <w:szCs w:val="24"/>
          <w:lang w:val="en-GB" w:eastAsia="de-DE"/>
        </w:rPr>
        <w:t>z</w:t>
      </w:r>
      <w:r w:rsidRPr="00CB509C">
        <w:rPr>
          <w:rFonts w:ascii="Times New Roman" w:eastAsia="Times New Roman" w:hAnsi="Times New Roman" w:cs="Times New Roman"/>
          <w:sz w:val="24"/>
          <w:szCs w:val="24"/>
          <w:lang w:val="en-GB" w:eastAsia="de-DE"/>
        </w:rPr>
        <w:t xml:space="preserve">ed inputs beyond the supply capacity of the private sector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{"citationItems":[{"id":"ITEM-1","itemData":{"ISBN":"0000000175","author":[{"dropping-particle":"","family":"Holden","given":"Stein T","non-dropping-particle":"","parse-names":false,"suffix":""}],"collection-title":"18","id":"ITEM-1","issue":"September","issued":{"date-parts":[["2018"]]},"number":"9","title":"The Economics of Fertilizer Subsidies","type":"report"},"uris":["http://www.mendeley.com/documents/?uuid=50a5c3d3-b57f-497a-bc92-7dd7b43f6dd5"]}],"mendeley":{"formattedCitation":"(Holden, 2018)","plainTextFormattedCitation":"(Holden, 2018)","previouslyFormattedCitation":"(Holden, 2018)"},"properties":{"noteIndex":0},"schema":"https://github.com/citation-style-language/schema/raw/master/csl-citation.json"}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(Holden, 2018)</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 xml:space="preserve">. </w:t>
      </w:r>
    </w:p>
    <w:p w14:paraId="28CCEE55" w14:textId="77777777" w:rsidR="00967553" w:rsidRPr="00CB509C" w:rsidRDefault="00967553" w:rsidP="00967553">
      <w:pPr>
        <w:spacing w:after="120" w:line="480" w:lineRule="auto"/>
        <w:jc w:val="both"/>
        <w:rPr>
          <w:rFonts w:ascii="Times New Roman" w:eastAsia="Times New Roman" w:hAnsi="Times New Roman" w:cs="Times New Roman"/>
          <w:sz w:val="24"/>
          <w:szCs w:val="24"/>
          <w:lang w:val="en-GB" w:eastAsia="de-DE"/>
        </w:rPr>
      </w:pPr>
      <w:r w:rsidRPr="00CB509C">
        <w:rPr>
          <w:rFonts w:ascii="Times New Roman" w:eastAsia="Times New Roman" w:hAnsi="Times New Roman" w:cs="Times New Roman"/>
          <w:sz w:val="24"/>
          <w:szCs w:val="24"/>
          <w:lang w:val="en-GB" w:eastAsia="de-DE"/>
        </w:rPr>
        <w:t xml:space="preserve">Moreover, farmers rely on a few </w:t>
      </w:r>
      <w:proofErr w:type="spellStart"/>
      <w:r w:rsidRPr="00CB509C">
        <w:rPr>
          <w:rFonts w:ascii="Times New Roman" w:eastAsia="Times New Roman" w:hAnsi="Times New Roman" w:cs="Times New Roman"/>
          <w:sz w:val="24"/>
          <w:szCs w:val="24"/>
          <w:lang w:val="en-GB" w:eastAsia="de-DE"/>
        </w:rPr>
        <w:t>agro</w:t>
      </w:r>
      <w:proofErr w:type="spellEnd"/>
      <w:r w:rsidRPr="00CB509C">
        <w:rPr>
          <w:rFonts w:ascii="Times New Roman" w:eastAsia="Times New Roman" w:hAnsi="Times New Roman" w:cs="Times New Roman"/>
          <w:sz w:val="24"/>
          <w:szCs w:val="24"/>
          <w:lang w:val="en-GB" w:eastAsia="de-DE"/>
        </w:rPr>
        <w:t xml:space="preserve">-dealers in an oligopolistic input market. This may exacerbate principal-agent problems because of the higher market power of the </w:t>
      </w:r>
      <w:proofErr w:type="spellStart"/>
      <w:r w:rsidRPr="00CB509C">
        <w:rPr>
          <w:rFonts w:ascii="Times New Roman" w:eastAsia="Times New Roman" w:hAnsi="Times New Roman" w:cs="Times New Roman"/>
          <w:sz w:val="24"/>
          <w:szCs w:val="24"/>
          <w:lang w:val="en-GB" w:eastAsia="de-DE"/>
        </w:rPr>
        <w:t>agro</w:t>
      </w:r>
      <w:proofErr w:type="spellEnd"/>
      <w:r w:rsidRPr="00CB509C">
        <w:rPr>
          <w:rFonts w:ascii="Times New Roman" w:eastAsia="Times New Roman" w:hAnsi="Times New Roman" w:cs="Times New Roman"/>
          <w:sz w:val="24"/>
          <w:szCs w:val="24"/>
          <w:lang w:val="en-GB" w:eastAsia="de-DE"/>
        </w:rPr>
        <w:t xml:space="preserve">-dealers. </w:t>
      </w:r>
      <w:r w:rsidRPr="00CB509C">
        <w:rPr>
          <w:rFonts w:ascii="Times New Roman" w:eastAsia="Times New Roman" w:hAnsi="Times New Roman" w:cs="Times New Roman"/>
          <w:sz w:val="24"/>
          <w:szCs w:val="24"/>
          <w:lang w:val="en-GB" w:eastAsia="de-DE"/>
        </w:rPr>
        <w:lastRenderedPageBreak/>
        <w:t xml:space="preserve">High information asymmetry and ineffective coordination between farmers and input dealers may further worsen the situation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{"citationItems":[{"id":"ITEM-1","itemData":{"DOI":"10.1016/j.spc.2021.11.013","ISSN":"23525509","abstract":"Recently, many developing countries have implemented several bioeconomy plans to transform their rural economies and improve food security at local, national, and regional levels. Yet, there are limited success stories and examples of a competitive bioeconomy in Africa while levels of poor and food in-secured population remain high. Drawing on the novel concepts of biomass value-web, national innovation system and Porter's Diamond model, this paper analyses the emerging biomass opportunities and institutional challenges limiting sustainable bioeconomy growth in Africa. Using the Nigerian maize sector as a case study, qualitative data obtained from 54 stakeholders through 14 interviews, six focus group discussions, and six Net-maps served as a foundation for our network and content analyses. Results revealed numerous opportunities to further upgrade the current maize biomass value-web. However, the challenge of low farm productivity, inadequate infrastructure, low biomass demand and utilization by industrial firms at the mid-stream, deficient innovation and support system and inconsistent government plan pivoted on several institutional challenges such as weak and uncoordinated institutional arrangement and unfavorable institutional environment to limit competitive bioeconomy growth in the sector. The study concludes that important institutions in various innovation subsystems would need to actively perform harmonizing activities within a favorable institutional environment before competitive bioeconomy growth can be attained in Africa.","author":[{"dropping-particle":"","family":"Adetoyinbo","given":"Ayobami","non-dropping-particle":"","parse-names":false,"suffix":""},{"dropping-particle":"","family":"Gupta","given":"Saurabh","non-dropping-particle":"","parse-names":false,"suffix":""},{"dropping-particle":"","family":"Okoruwa","given":"Victor Olusegun","non-dropping-particle":"","parse-names":false,"suffix":""},{"dropping-particle":"","family":"Birner","given":"Regina","non-dropping-particle":"","parse-names":false,"suffix":""}],"container-title":"Sustainable Production and Consumption","id":"ITEM-1","issued":{"date-parts":[["2022","3"]]},"page":"186-203","publisher":"Elsevier B.V.","title":"The role of institutions in sustaining competitive bioeconomy growth in Africa – Insights from the Nigerian maize biomass value-web","type":"article-journal","volume":"30"},"uris":["http://www.mendeley.com/documents/?uuid=b36353fc-ec68-4458-9301-1788c21f0153"]}],"mendeley":{"formattedCitation":"(Adetoyinbo et al., 2022)","plainTextFormattedCitation":"(Adetoyinbo et al., 2022)","previouslyFormattedCitation":"(Adetoyinbo et al., 2022)"},"properties":{"noteIndex":0},"schema":"https://github.com/citation-style-language/schema/raw/master/csl-citation.json"}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(Adetoyinbo et al., 2022)</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 This is because rural farmers are often unaware of ISPs and their procedures, and thus, cannot adequately evaluate the quantity and quality of inputs received.</w:t>
      </w:r>
    </w:p>
    <w:p w14:paraId="28CCEE56" w14:textId="77777777" w:rsidR="00967553" w:rsidRPr="00CB509C" w:rsidRDefault="00967553" w:rsidP="00967553">
      <w:pPr>
        <w:keepNext/>
        <w:keepLines/>
        <w:spacing w:before="200" w:after="0" w:line="480" w:lineRule="auto"/>
        <w:jc w:val="both"/>
        <w:outlineLvl w:val="2"/>
        <w:rPr>
          <w:rFonts w:ascii="Times New Roman" w:eastAsia="Times New Roman" w:hAnsi="Times New Roman" w:cs="Times New Roman"/>
          <w:b/>
          <w:bCs/>
          <w:i/>
          <w:sz w:val="24"/>
          <w:lang w:val="en-GB" w:eastAsia="de-DE"/>
        </w:rPr>
      </w:pPr>
      <w:bookmarkStart w:id="4" w:name="_Ref65590358"/>
      <w:r w:rsidRPr="00CB509C">
        <w:rPr>
          <w:rFonts w:ascii="Times New Roman" w:eastAsia="Times New Roman" w:hAnsi="Times New Roman" w:cs="Times New Roman"/>
          <w:b/>
          <w:bCs/>
          <w:i/>
          <w:sz w:val="24"/>
          <w:lang w:val="en-GB" w:eastAsia="de-DE"/>
        </w:rPr>
        <w:t xml:space="preserve">Government failure in the input subsidy </w:t>
      </w:r>
      <w:bookmarkEnd w:id="4"/>
      <w:r w:rsidRPr="00CB509C">
        <w:rPr>
          <w:rFonts w:ascii="Times New Roman" w:eastAsia="Times New Roman" w:hAnsi="Times New Roman" w:cs="Times New Roman"/>
          <w:b/>
          <w:bCs/>
          <w:i/>
          <w:sz w:val="24"/>
          <w:lang w:val="en-GB" w:eastAsia="de-DE"/>
        </w:rPr>
        <w:t>programme</w:t>
      </w:r>
    </w:p>
    <w:p w14:paraId="28CCEE57" w14:textId="77777777" w:rsidR="00967553" w:rsidRPr="00CB509C" w:rsidRDefault="00967553" w:rsidP="00967553">
      <w:pPr>
        <w:spacing w:after="0" w:line="480" w:lineRule="auto"/>
        <w:jc w:val="both"/>
        <w:rPr>
          <w:rFonts w:ascii="Times New Roman" w:eastAsia="Calibri" w:hAnsi="Times New Roman" w:cs="Times New Roman"/>
          <w:sz w:val="24"/>
          <w:lang w:val="en-GB" w:eastAsia="de-DE"/>
        </w:rPr>
      </w:pPr>
      <w:r w:rsidRPr="00CB509C">
        <w:rPr>
          <w:rFonts w:ascii="Times New Roman" w:eastAsia="Calibri" w:hAnsi="Times New Roman" w:cs="Times New Roman"/>
          <w:sz w:val="24"/>
          <w:lang w:val="en-GB" w:eastAsia="de-DE"/>
        </w:rPr>
        <w:t xml:space="preserve">To overcome inherent market failures in ISPs, </w:t>
      </w:r>
      <w:bookmarkStart w:id="5" w:name="_Hlk73538699"/>
      <w:r w:rsidRPr="00CB509C">
        <w:rPr>
          <w:rFonts w:ascii="Times New Roman" w:eastAsia="Calibri" w:hAnsi="Times New Roman" w:cs="Times New Roman"/>
          <w:sz w:val="24"/>
          <w:lang w:val="en-GB" w:eastAsia="de-DE"/>
        </w:rPr>
        <w:t>the government has played an important role in the finance, procurement, and distribution of agricultural inputs</w:t>
      </w:r>
      <w:bookmarkEnd w:id="5"/>
      <w:r w:rsidRPr="00CB509C">
        <w:rPr>
          <w:rFonts w:ascii="Times New Roman" w:eastAsia="Calibri" w:hAnsi="Times New Roman" w:cs="Times New Roman"/>
          <w:sz w:val="24"/>
          <w:lang w:val="en-GB" w:eastAsia="de-DE"/>
        </w:rPr>
        <w:t xml:space="preserve"> in SSA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{"citationItems":[{"id":"ITEM-1","itemData":{"DOI":"10.1016/j.foodpol.2018.01.003","ISSN":"03069192","abstract":"Input subsidy programs (ISPs) remain one of the most contentiously debated development issues in sub-Saharan Africa (SSA). After ISPs were phased out during the 1980s and 1990s, the landscape has changed profoundly since the early 2000s. By 2010, at least 10 African governments initiated a new wave of subsidy programs that were designed to overcome past performance challenges. This study provides the most comprehensive review of recent evidence to date regarding the performance of these second generation ISPs, synthesizing nearly 80 ISP-related studies from seven countries (Ghana, Nigeria, Kenya, Tanzania, Malawi, Zambia, and Ethiopia). We specifically evaluate ISP impacts on total fertilizer use, food production, commercial input distribution systems, food prices, wages, and poverty. We also consider measures that could enable ISPs to more cost-effectively achieve their objectives. We find that ISPs can quickly raise national food production, and that receiving subsidized inputs raises beneficiary households’ grain yields and production levels at least in the short-term. However, the overall production and welfare effects of subsidy programs tend to be smaller than expected. Two characteristics of program implementation consistently mitigate the intended effects of ISPs: (1) subsidy programs partially crowd out commercial fertilizer demand due to difficulties associated with targeting and sale of inputs by program implementers, and (2) lower than expected crop yield response to fertilizer on smallholder-managed fields. If these challenges could be addressed, ISPs could more effectively mitigate the concurrent challenges of rapid population growth and climate change in SSA.","author":[{"dropping-particle":"","family":"Jayne","given":"Thomas S.","non-dropping-particle":"","parse-names":false,"suffix":""},{"dropping-particle":"","family":"Ason","given":"Nicole M.","non-dropping-particle":"","parse-names":false,"suffix":""},{"dropping-particle":"","family":"Burke","given":"William J.","non-dropping-particle":"","parse-names":false,"suffix":""},{"dropping-particle":"","family":"Ariga","given":"Joshua","non-dropping-particle":"","parse-names":false,"suffix":""}],"container-title":"Food Policy","id":"ITEM-1","issue":"February","issued":{"date-parts":[["2018"]]},"page":"1-14","publisher":"Elsevier","title":"Review: Taking stock of Africa's second-generation agricultural input subsidy programs","type":"article-journal","volume":"75"},"uris":["http://www.mendeley.com/documents/?uuid=13702d9e-9a21-466f-b5d9-518038b6ee54"]},{"id":"ITEM-2","itemData":{"DOI":"10.1111/agec.12082","ISSN":"01695150","abstract":"A major determinant of input subsidy programs’ effects on the achievement of national policy goals is the extent to which they raise total fertilizer use. This study synthesizes recent literature on how the new generation of targeted input subsidy programs has affected national fertilizer use after accounting for crowding effects, and derives benefit–cost (BC) estimates of the fertilizer subsidy programs for Kenya, Malawi, and Zambia after accounting for crowding out and diversion. We highlight two major findings. First, accounting for the illicit diversion of program fertilizer can profoundly influence estimates of how fertilizer subsidy programs affect total fertilizer use and program impacts. Given recent evidence that 33% or more of total program fertilizer may be diverted before being received by intended beneficiary farmers, the failure to account for program diversion is shown to overestimate the contribution of the subsidy programs to national fertilizer use by 67.3% in the case of Malawi, by 61.6% for Zambia, and by 138.0% for Kenya. The second major finding is that the incremental value of maize output produced from these subsidy programs is considerably less than their costs in most years, except under unusually high maize price assumptions. Conventional BC analyses that do not account for crowding out and diversion may seriously overestimate the benefits of input subsidy programs. Greater attention to program design and implementation details to reduce problems of crowding out and diversion can substantially raise the returns to such programs.","author":[{"dropping-particle":"","family":"Jayne","given":"Thomas S.","non-dropping-particle":"","parse-names":false,"suffix":""},{"dropping-particle":"","family":"Mather","given":"David","non-dropping-particle":"","parse-names":false,"suffix":""},{"dropping-particle":"","family":"Mason","given":"Nicole","non-dropping-particle":"","parse-names":false,"suffix":""},{"dropping-particle":"","family":"Ricker-Gilbert","given":"Jacob","non-dropping-particle":"","parse-names":false,"suffix":""}],"container-title":"Agricultural Economics (United Kingdom)","id":"ITEM-2","issue":"6","issued":{"date-parts":[["2013"]]},"page":"687-703","title":"How do fertilizer subsidy programs affect total fertilizer use in sub-Saharan Africa? Crowding out, diversion, and benefit/cost assessments","type":"article-journal","volume":"44"},"uris":["http://www.mendeley.com/documents/?uuid=066cf18a-5008-4ce6-a7b9-b11ec097e56a"]},{"id":"ITEM-3","itemData":{"DOI":"10.1111/agec.12073","ISSN":"01695150","abstract":"Input subsidy programs have once again become a major plank of agricultural development strategies in Africa. Ten African governments spend roughly US$1 billion annually on input subsidy programs (ISPs), amounting to 28.6% of their public expenditures on agriculture. This article reviews the microlevel evidence on ISPs undertaken since the mid 2000s. We examine the characteristics of subsidy beneficiaries, crop response rates to fertilizer application and their influence on the performance of subsidy programs, the impacts of subsidy programs on national fertilizer use and the development of commercial input distribution systems, and finally the impact of ISPs on food price levels and poverty rates. The weight of the evidence indicates that the costs of the programs generally outweigh their benefits. Findings from other developing areas with a higher proportion of crop area under irrigation and with lower fertilizer prices-factors that should provide higher returns to fertilizer subsidies than in Africa-indicate that at least a partial reallocation of expenditures from fertilizer subsidies to R&amp;D and infrastructure would provide higher returns to agricultural growth and poverty reduction. However, because ISPs enable governments to demonstrate tangible support to constituents, they are likely to remain on the African landscape for the foreseeable future. Hence, the study identifies ways in which benefits can be enhanced through changes in implementation modalities and complementary investments within a holistic agricultural intensification strategy. Among the most important of these are efforts to reduce the crowding out of commercial fertilizer distribution systems and programs to improve soil fertility to enable farmers to use fertilizer more efficiently. The challenges associated with achieving these gains are likely to be formidable. © 2013 International Association of Agricultural Economists.","author":[{"dropping-particle":"","family":"Jayne","given":"T. S.","non-dropping-particle":"","parse-names":false,"suffix":""},{"dropping-particle":"","family":"Rashid","given":"Shahidur","non-dropping-particle":"","parse-names":false,"suffix":""}],"container-title":"Agricultural Economics (United Kingdom)","id":"ITEM-3","issue":"6","issued":{"date-parts":[["2013"]]},"page":"547-562","title":"Input subsidy programs in sub-Saharan Africa: A synthesis of recent evidence","type":"article-journal","volume":"44"},"uris":["http://www.mendeley.com/documents/?uuid=98ad7d1b-68c7-4dbb-b0bf-9d20ab2abf38"]},{"id":"ITEM-4","itemData":{"DOI":"10.1111/agec.12094","ISSN":"15740862","abstract":"Government distribution of subsidized fertilizer in Sub-Saharan Africa is often characterized by cumbersome administrative processes and diversion of the product from the proclaimed beneficiaries. This study uses propensity score matching techniques to analyze an input voucher program in Nigeria that was meant to demonstrate an alternative and more efficient distribution mechanism for subsidized fertilizer. We find that participants in the 2009 voucher program received more bags of subsidized fertilizer than nonparticipants and also paid significantly lower prices compared to those who purchased directly from the market. On average, however, participating in the voucher program did not improve the timeliness of fertilizer receipt or the quality of the product. Where statistically significant, participating in the program increased the likelihood that the product was received late and that some complaint about the product's quality was made. As many developing countries; particularly in Sub-Saharan Africa adopt the use of input vouchers or scale up already existing programs, this study demonstrates when the distribution of subsidized fertilizer via vouchers improves farmers' timely access to good and more affordable fertilizer. It highlights some key issues to be considered in order to expand the dimensions of success of well-targeted input voucher programs.","author":[{"dropping-particle":"","family":"Liverpool-Tasie","given":"Lenis Saweda O.","non-dropping-particle":"","parse-names":false,"suffix":""}],"container-title":"Agricultural Economics (United Kingdom)","id":"ITEM-4","issue":"4","issued":{"date-parts":[["2014"]]},"page":"393-407","title":"Do vouchers improve government fertilizer distribution? Evidence from Nigeria","type":"article-journal","volume":"45"},"uris":["http://www.mendeley.com/documents/?uuid=4745c562-7487-4ba1-a5e5-e7553931e05c"]}],"mendeley":{"formattedCitation":"(T. S. Jayne &amp; Rashid, 2013; Thomas S. Jayne et al., 2013, 2018; Liverpool-Tasie, 2014a)","manualFormatting":"(Jayne et al., 2013; Jayne &amp; Rashid, 2013; Jayne et al., 2018; Liverpool-Tasie, 2014a)","plainTextFormattedCitation":"(T. S. Jayne &amp; Rashid, 2013; Thomas S. Jayne et al., 2013, 2018; Liverpool-Tasie, 2014a)","previouslyFormattedCitation":"(T. S. Jayne &amp; Rashid, 2013; Thomas S. Jayne et al., 2013, 2018; Liverpool-Tasie, 2014a)"},"properties":{"noteIndex":0},"schema":"https://github.com/citation-style-language/schema/raw/master/csl-citation.json"}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(Jayne et al., 2013; Jayne &amp; Rashid, 2013; Jayne et al., 2018; Liverpool-Tasie, 2014a)</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xml:space="preserve">. However, ISPs are political with inherent governance challenges </w:t>
      </w:r>
      <w:r w:rsidRPr="00CB509C">
        <w:rPr>
          <w:rFonts w:ascii="Times New Roman" w:eastAsia="Times New Roman" w:hAnsi="Times New Roman" w:cs="Times New Roman"/>
          <w:sz w:val="24"/>
          <w:szCs w:val="24"/>
          <w:lang w:val="en-GB" w:eastAsia="de-DE"/>
        </w:rPr>
        <w:t xml:space="preserve">that make the </w:t>
      </w:r>
      <w:r w:rsidRPr="00CB509C">
        <w:rPr>
          <w:rFonts w:ascii="Times New Roman" w:eastAsia="Calibri" w:hAnsi="Times New Roman" w:cs="Times New Roman"/>
          <w:sz w:val="24"/>
          <w:lang w:val="en-GB" w:eastAsia="de-DE"/>
        </w:rPr>
        <w:t>“</w:t>
      </w:r>
      <w:r w:rsidRPr="00CB509C">
        <w:rPr>
          <w:rFonts w:ascii="Times New Roman" w:eastAsia="Times New Roman" w:hAnsi="Times New Roman" w:cs="Times New Roman"/>
          <w:sz w:val="24"/>
          <w:szCs w:val="24"/>
          <w:lang w:val="en-GB" w:eastAsia="de-DE"/>
        </w:rPr>
        <w:t xml:space="preserve">government (or state)” fail in ISPs </w:t>
      </w:r>
      <w:r w:rsidRPr="00CB509C">
        <w:rPr>
          <w:rFonts w:ascii="Times New Roman" w:eastAsia="Times New Roman" w:hAnsi="Times New Roman" w:cs="Times New Roman"/>
          <w:sz w:val="24"/>
          <w:szCs w:val="24"/>
          <w:lang w:val="en-GB" w:eastAsia="de-DE"/>
        </w:rPr>
        <w:fldChar w:fldCharType="begin" w:fldLock="1"/>
      </w:r>
      <w:r w:rsidRPr="00CB509C">
        <w:rPr>
          <w:rFonts w:ascii="Times New Roman" w:eastAsia="Times New Roman" w:hAnsi="Times New Roman" w:cs="Times New Roman"/>
          <w:sz w:val="24"/>
          <w:szCs w:val="24"/>
          <w:lang w:val="en-GB" w:eastAsia="de-DE"/>
        </w:rPr>
        <w:instrText>ADDIN CSL_CITATION {"citationItems":[{"id":"ITEM-1","itemData":{"DOI":"10.1016/j.foodpol.2015.04.003","ISSN":"03069192","abstract":"The last decade has seen a resurgence in the use of fertilizer subsidies in sub-Saharan Africa. However, there is limited empirical evidence on the effects of fertilizer subsidy programs on local food prices. Using an instrumental variables approach, we explore the effect of a fertilizer subsidy program on the seasonal growth rates of grain prices in Nigeria. Our results suggest that the fertilizer subsidy program had very small effects on the growth rates of grain prices between the post-planting and post-harvesting seasons. We also find that political influence played a role in the distribution of subsidized fertilizer. We discuss how the weak effects on the price growth rates may be caused by low market orientation, output market structures, greater focus on farmers' incomes, low marginal productivity of fertilizer, and politically influenced targeting.","author":[{"dropping-particle":"","family":"Takeshima","given":"Hiroyuki","non-dropping-particle":"","parse-names":false,"suffix":""},{"dropping-particle":"","family":"Liverpool-Tasie","given":"Lenis Saweda O.","non-dropping-particle":"","parse-names":false,"suffix":""}],"container-title":"Food Policy","id":"ITEM-1","issued":{"date-parts":[["2015"]]},"page":"11-24","publisher":"Elsevier Ltd","title":"Fertilizer subsidies, political influence and local food prices in sub-Saharan Africa: Evidence from Nigeria","type":"article-journal","volume":"54"},"uris":["http://www.mendeley.com/documents/?uuid=520828e5-48a0-4ebc-8920-58ededba28de"]}],"mendeley":{"formattedCitation":"(Takeshima &amp; Liverpool-Tasie, 2015)","plainTextFormattedCitation":"(Takeshima &amp; Liverpool-Tasie, 2015)","previouslyFormattedCitation":"(Takeshima &amp; Liverpool-Tasie, 2015)"},"properties":{"noteIndex":0},"schema":"https://github.com/citation-style-language/schema/raw/master/csl-citation.json"}</w:instrText>
      </w:r>
      <w:r w:rsidRPr="00CB509C">
        <w:rPr>
          <w:rFonts w:ascii="Times New Roman" w:eastAsia="Times New Roman" w:hAnsi="Times New Roman" w:cs="Times New Roman"/>
          <w:sz w:val="24"/>
          <w:szCs w:val="24"/>
          <w:lang w:val="en-GB" w:eastAsia="de-DE"/>
        </w:rPr>
        <w:fldChar w:fldCharType="separate"/>
      </w:r>
      <w:r w:rsidRPr="00CB509C">
        <w:rPr>
          <w:rFonts w:ascii="Times New Roman" w:eastAsia="Times New Roman" w:hAnsi="Times New Roman" w:cs="Times New Roman"/>
          <w:noProof/>
          <w:sz w:val="24"/>
          <w:szCs w:val="24"/>
          <w:lang w:val="en-GB" w:eastAsia="de-DE"/>
        </w:rPr>
        <w:t>(Takeshima &amp; Liverpool-Tasie, 2015)</w:t>
      </w:r>
      <w:r w:rsidRPr="00CB509C">
        <w:rPr>
          <w:rFonts w:ascii="Times New Roman" w:eastAsia="Times New Roman" w:hAnsi="Times New Roman" w:cs="Times New Roman"/>
          <w:sz w:val="24"/>
          <w:szCs w:val="24"/>
          <w:lang w:val="en-GB" w:eastAsia="de-DE"/>
        </w:rPr>
        <w:fldChar w:fldCharType="end"/>
      </w:r>
      <w:r w:rsidRPr="00CB509C">
        <w:rPr>
          <w:rFonts w:ascii="Times New Roman" w:eastAsia="Times New Roman" w:hAnsi="Times New Roman" w:cs="Times New Roman"/>
          <w:sz w:val="24"/>
          <w:szCs w:val="24"/>
          <w:lang w:val="en-GB" w:eastAsia="de-DE"/>
        </w:rPr>
        <w:t>.</w:t>
      </w:r>
      <w:r w:rsidRPr="00CB509C">
        <w:rPr>
          <w:rFonts w:ascii="Times New Roman" w:eastAsia="Calibri" w:hAnsi="Times New Roman" w:cs="Times New Roman"/>
          <w:sz w:val="24"/>
          <w:lang w:val="en-GB" w:eastAsia="de-DE"/>
        </w:rPr>
        <w:t xml:space="preserve"> </w:t>
      </w:r>
    </w:p>
    <w:p w14:paraId="28CCEE58" w14:textId="77777777" w:rsidR="00967553" w:rsidRPr="00CB509C" w:rsidRDefault="00967553" w:rsidP="00967553">
      <w:pPr>
        <w:spacing w:before="120" w:after="120" w:line="480" w:lineRule="auto"/>
        <w:jc w:val="both"/>
        <w:rPr>
          <w:rFonts w:ascii="Times New Roman" w:eastAsia="Times New Roman" w:hAnsi="Times New Roman" w:cs="Times New Roman"/>
          <w:sz w:val="24"/>
          <w:szCs w:val="24"/>
          <w:lang w:eastAsia="de-DE"/>
        </w:rPr>
      </w:pPr>
      <w:r w:rsidRPr="00CB509C">
        <w:rPr>
          <w:rFonts w:ascii="Times New Roman" w:eastAsia="Calibri" w:hAnsi="Times New Roman" w:cs="Times New Roman"/>
          <w:sz w:val="24"/>
          <w:lang w:val="en-GB" w:eastAsia="de-DE"/>
        </w:rPr>
        <w:t xml:space="preserve">Most </w:t>
      </w:r>
      <w:bookmarkStart w:id="6" w:name="_Hlk73798847"/>
      <w:r w:rsidRPr="00CB509C">
        <w:rPr>
          <w:rFonts w:ascii="Times New Roman" w:eastAsia="Calibri" w:hAnsi="Times New Roman" w:cs="Times New Roman"/>
          <w:sz w:val="24"/>
          <w:lang w:val="en-GB" w:eastAsia="de-DE"/>
        </w:rPr>
        <w:t>ISPs in SSA are state-led</w:t>
      </w:r>
      <w:r w:rsidR="005044C1">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thus, institutional challenges remain a big concern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{"citationItems":[{"id":"ITEM-1","itemData":{"DOI":"10.1016/j.spc.2021.11.013","ISSN":"23525509","abstract":"Recently, many developing countries have implemented several bioeconomy plans to transform their rural economies and improve food security at local, national, and regional levels. Yet, there are limited success stories and examples of a competitive bioeconomy in Africa while levels of poor and food in-secured population remain high. Drawing on the novel concepts of biomass value-web, national innovation system and Porter's Diamond model, this paper analyses the emerging biomass opportunities and institutional challenges limiting sustainable bioeconomy growth in Africa. Using the Nigerian maize sector as a case study, qualitative data obtained from 54 stakeholders through 14 interviews, six focus group discussions, and six Net-maps served as a foundation for our network and content analyses. Results revealed numerous opportunities to further upgrade the current maize biomass value-web. However, the challenge of low farm productivity, inadequate infrastructure, low biomass demand and utilization by industrial firms at the mid-stream, deficient innovation and support system and inconsistent government plan pivoted on several institutional challenges such as weak and uncoordinated institutional arrangement and unfavorable institutional environment to limit competitive bioeconomy growth in the sector. The study concludes that important institutions in various innovation subsystems would need to actively perform harmonizing activities within a favorable institutional environment before competitive bioeconomy growth can be attained in Africa.","author":[{"dropping-particle":"","family":"Adetoyinbo","given":"Ayobami","non-dropping-particle":"","parse-names":false,"suffix":""},{"dropping-particle":"","family":"Gupta","given":"Saurabh","non-dropping-particle":"","parse-names":false,"suffix":""},{"dropping-particle":"","family":"Okoruwa","given":"Victor Olusegun","non-dropping-particle":"","parse-names":false,"suffix":""},{"dropping-particle":"","family":"Birner","given":"Regina","non-dropping-particle":"","parse-names":false,"suffix":""}],"container-title":"Sustainable Production and Consumption","id":"ITEM-1","issued":{"date-parts":[["2022","3"]]},"page":"186-203","publisher":"Elsevier B.V.","title":"The role of institutions in sustaining competitive bioeconomy growth in Africa – Insights from the Nigerian maize biomass value-web","type":"article-journal","volume":"30"},"uris":["http://www.mendeley.com/documents/?uuid=b36353fc-ec68-4458-9301-1788c21f0153"]}],"mendeley":{"formattedCitation":"(Adetoyinbo et al., 2022)","plainTextFormattedCitation":"(Adetoyinbo et al., 2022)","previouslyFormattedCitation":"(Adetoyinbo et al., 2022)"},"properties":{"noteIndex":0},"schema":"https://github.com/citation-style-language/schema/raw/master/csl-citation.json"}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(Adetoyinbo et al., 2022)</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xml:space="preserve">. ISPs are marked by financial inadequacies that revolve around the sustainability of fiscal expenses, including government spending, budget harmonisation, and funding timelines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{"citationItems":[{"id":"ITEM-1","itemData":{"DOI":"10.1111/agec.12075","ISSN":"01695150","author":[{"dropping-particle":"","family":"Liverpool-Tasie","given":"Lenis Saweda O","non-dropping-particle":"","parse-names":false,"suffix":""},{"dropping-particle":"","family":"Takeshima","given":"Hiroyuki","non-dropping-particle":"","parse-names":false,"suffix":""}],"container-title":"Agricultural Economics (United Kingdom)","id":"ITEM-1","issue":"6","issued":{"date-parts":[["2013"]]},"page":"581-594","title":"Input promotion within a complex subsector: Fertilizer in Nigeria","type":"article-journal","volume":"44"},"uris":["http://www.mendeley.com/documents/?uuid=b5101a97-6bcf-4f33-a253-f15a3c3d1313"]},{"id":"ITEM-2","itemData":{"DOI":"10.1016/j.foodpol.2015.04.003","ISSN":"03069192","abstract":"The last decade has seen a resurgence in the use of fertilizer subsidies in sub-Saharan Africa. However, there is limited empirical evidence on the effects of fertilizer subsidy programs on local food prices. Using an instrumental variables approach, we explore the effect of a fertilizer subsidy program on the seasonal growth rates of grain prices in Nigeria. Our results suggest that the fertilizer subsidy program had very small effects on the growth rates of grain prices between the post-planting and post-harvesting seasons. We also find that political influence played a role in the distribution of subsidized fertilizer. We discuss how the weak effects on the price growth rates may be caused by low market orientation, output market structures, greater focus on farmers' incomes, low marginal productivity of fertilizer, and politically influenced targeting.","author":[{"dropping-particle":"","family":"Takeshima","given":"Hiroyuki","non-dropping-particle":"","parse-names":false,"suffix":""},{"dropping-particle":"","family":"Liverpool-Tasie","given":"Lenis Saweda O.","non-dropping-particle":"","parse-names":false,"suffix":""}],"container-title":"Food Policy","id":"ITEM-2","issued":{"date-parts":[["2015"]]},"page":"11-24","publisher":"Elsevier Ltd","title":"Fertilizer subsidies, political influence and local food prices in sub-Saharan Africa: Evidence from Nigeria","type":"article-journal","volume":"54"},"uris":["http://www.mendeley.com/documents/?uuid=520828e5-48a0-4ebc-8920-58ededba28de"]},{"id":"ITEM-3","itemData":{"author":[{"dropping-particle":"","family":"Tiri","given":"G D","non-dropping-particle":"","parse-names":false,"suffix":""},{"dropping-particle":"","family":"Ojoko","given":"E A","non-dropping-particle":"","parse-names":false,"suffix":""},{"dropping-particle":"","family":"Aruwayo","given":"A","non-dropping-particle":"","parse-names":false,"suffix":""}],"container-title":"ARPN Journal of Agricultural and Biological Science","id":"ITEM-3","issue":"7","issued":{"date-parts":[["2015"]]},"page":"226-232","title":"Growth Enhancement Support Scheme ( GESS ) and the Challenges of Food Security in Nigeria : A Review","type":"article-journal","volume":"9"},"uris":["http://www.mendeley.com/documents/?uuid=38592358-3204-4cc3-b22a-a2e6e4e5ed17"]}],"mendeley":{"formattedCitation":"(Liverpool-Tasie &amp; Takeshima, 2013; Takeshima &amp; Liverpool-Tasie, 2015; Tiri et al., 2015)","manualFormatting":"(Liverpool-Tasie &amp; Takeshima, 2013; Takeshima &amp; Liverpool-Tasie, 2015; Tiri et al., 2015)","plainTextFormattedCitation":"(Liverpool-Tasie &amp; Takeshima, 2013; Takeshima &amp; Liverpool-Tasie, 2015; Tiri et al., 2015)","previouslyFormattedCitation":"(Liverpool-Tasie &amp; Takeshima, 2013; Takeshima &amp; Liverpool-Tasie, 2015; Tiri et al., 2015)"},"properties":{"noteIndex":0},"schema":"https://github.com/citation-style-language/schema/raw/master/csl-citation.json"}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(Liverpool-Tasie &amp; Takeshima, 2013; Takeshima &amp; Liverpool-Tasie, 2015; Tiri et al., 2015)</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Although many SSA countries maintain tight budgets, ISP</w:t>
      </w:r>
      <w:r w:rsidR="007102BE">
        <w:rPr>
          <w:rFonts w:ascii="Times New Roman" w:eastAsia="Calibri" w:hAnsi="Times New Roman" w:cs="Times New Roman"/>
          <w:sz w:val="24"/>
          <w:lang w:val="en-GB" w:eastAsia="de-DE"/>
        </w:rPr>
        <w:t>s</w:t>
      </w:r>
      <w:r w:rsidRPr="00CB509C">
        <w:rPr>
          <w:rFonts w:ascii="Times New Roman" w:eastAsia="Calibri" w:hAnsi="Times New Roman" w:cs="Times New Roman"/>
          <w:sz w:val="24"/>
          <w:lang w:val="en-GB" w:eastAsia="de-DE"/>
        </w:rPr>
        <w:t xml:space="preserve">, which occasionally account for about 40% of the agricultural budget, add to the financial burden of national governments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{"citationItems":[{"id":"ITEM-1","itemData":{"DOI":"10.1016/j.worlddev.2017.04.021","ISSN":"18735991","abstract":"In an attempt to go beyond the so called “smart” subsidies, Nigeria has embarked on a potentially innovative mobile phone-based input subsidy program that provides fertilizer and improved seed subsidies through electronic vouchers. In this article, we examined the productivity and welfare effects of the program using household-level data from rural Nigeria. The article employed instrumental variable regression approach to control for the potential endogeneity of the input subsidy program. Our results suggest that the program is effective in improving productivity and welfare outcomes of beneficiary smallholders. The size of the estimated effects suggests a large improvement in productivity and welfare outcomes. Moreover, the distributional effects of the program suggest no heterogeneity effects based on gender and farm land size. These results are robust to using alternative measurements of program participation. The benefit–cost ratio of 1.11 suggests that the program is marginally cost-effective. Overall, our results suggest that while improving average productivity is a good outcome for improving food security, improving the distributional outcome of the program by targeting the most disadvantaged groups would maximize the program's contribution to food security and poverty reduction.","auth</w:instrText>
      </w:r>
      <w:r w:rsidRPr="00CB509C">
        <w:rPr>
          <w:rFonts w:ascii="Times New Roman" w:eastAsia="Calibri" w:hAnsi="Times New Roman" w:cs="Times New Roman"/>
          <w:sz w:val="24"/>
          <w:lang w:eastAsia="de-DE"/>
        </w:rPr>
        <w:instrText>or":[{"dropping-particle":"","family":"Wossen","given":"Tesfamicheal","non-dropping-particle":"","parse-names":false,"suffix":""},{"dropping-particle":"","family":"Abdoulaye","given":"Tahirou","non-dropping-particle":"","parse-names":false,"suffix":""},{"dropping-particle":"","family":"Alene","given":"Arega","non-dropping-particle":"","parse-names":false,"suffix":""},{"dropping-particle":"","family":"Feleke","given":"Shiferaw","non-dropping-particle":"","parse-names":false,"suffix":""},{"dropping-particle":"","family":"Ricker-Gilbert","given":"Jacob","non-dropping-particle":"","parse-names":false,"suffix":""},{"dropping-particle":"","family":"Manyong","given":"Victor","non-dropping-particle":"","parse-names":false,"suffix":""},{"dropping-particle":"","family":"Awotide","given":"Bola Amoke","non-dropping-particle":"","parse-names":false,"suffix":""}],"container-title":"World Development","id":"ITEM-1","issued":{"date-parts":[["2017"]]},"page":"251-265","publisher":"The Authors","title":"Productivity and Welfare Effects of Nigeria's e-Voucher-Based Input Subsidy Program","type":"article-journal","volume":"97"},"uris":["http://www.mendeley.com/documents/?uuid=be9b3b40-5d32-4d18-a330-2ddeb00d02dd"]}],"mendeley":{"formattedCitation":"(Wossen et al., 2017)","plainTextFormattedCitation":"(Wossen et al., 2017)","previouslyFormattedCitation":"(Wossen et al., 2017)"},"properties":{"noteIndex":0},"schema":"https://github.com/citation-style-language/schema/raw/master/csl-citation.json"}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eastAsia="de-DE"/>
        </w:rPr>
        <w:t>(Wossen et al., 2017)</w:t>
      </w:r>
      <w:r w:rsidRPr="00CB509C">
        <w:rPr>
          <w:rFonts w:ascii="Times New Roman" w:eastAsia="Calibri" w:hAnsi="Times New Roman" w:cs="Times New Roman"/>
          <w:sz w:val="24"/>
          <w:lang w:val="en-GB" w:eastAsia="de-DE"/>
        </w:rPr>
        <w:fldChar w:fldCharType="end"/>
      </w:r>
      <w:bookmarkEnd w:id="6"/>
      <w:r w:rsidRPr="00CB509C">
        <w:rPr>
          <w:rFonts w:ascii="Times New Roman" w:eastAsia="Calibri" w:hAnsi="Times New Roman" w:cs="Times New Roman"/>
          <w:sz w:val="24"/>
          <w:lang w:eastAsia="de-DE"/>
        </w:rPr>
        <w:t>.</w:t>
      </w:r>
      <w:bookmarkStart w:id="7" w:name="_Hlk73539719"/>
      <w:r w:rsidRPr="00CB509C">
        <w:rPr>
          <w:rFonts w:ascii="Times New Roman" w:eastAsia="Calibri" w:hAnsi="Times New Roman" w:cs="Times New Roman"/>
          <w:sz w:val="24"/>
          <w:lang w:eastAsia="de-DE"/>
        </w:rPr>
        <w:t xml:space="preserve"> </w:t>
      </w:r>
      <w:bookmarkStart w:id="8" w:name="_Hlk73780794"/>
      <w:r w:rsidRPr="00CB509C">
        <w:rPr>
          <w:rFonts w:ascii="Times New Roman" w:eastAsia="Calibri" w:hAnsi="Times New Roman" w:cs="Times New Roman"/>
          <w:sz w:val="24"/>
          <w:lang w:eastAsia="de-DE"/>
        </w:rPr>
        <w:t xml:space="preserve">This </w:t>
      </w:r>
      <w:r w:rsidRPr="00CB509C">
        <w:rPr>
          <w:rFonts w:ascii="Times New Roman" w:eastAsia="Times New Roman" w:hAnsi="Times New Roman" w:cs="Times New Roman"/>
          <w:sz w:val="24"/>
          <w:szCs w:val="24"/>
          <w:lang w:eastAsia="de-DE"/>
        </w:rPr>
        <w:t>widens the input supply-demand gap as governments</w:t>
      </w:r>
      <w:r w:rsidR="005044C1">
        <w:rPr>
          <w:rFonts w:ascii="Times New Roman" w:eastAsia="Times New Roman" w:hAnsi="Times New Roman" w:cs="Times New Roman"/>
          <w:sz w:val="24"/>
          <w:szCs w:val="24"/>
          <w:lang w:eastAsia="de-DE"/>
        </w:rPr>
        <w:t>,</w:t>
      </w:r>
      <w:r w:rsidRPr="00CB509C">
        <w:rPr>
          <w:rFonts w:ascii="Times New Roman" w:eastAsia="Times New Roman" w:hAnsi="Times New Roman" w:cs="Times New Roman"/>
          <w:sz w:val="24"/>
          <w:szCs w:val="24"/>
          <w:lang w:eastAsia="de-DE"/>
        </w:rPr>
        <w:t xml:space="preserve"> rather than market forces</w:t>
      </w:r>
      <w:r w:rsidR="005044C1">
        <w:rPr>
          <w:rFonts w:ascii="Times New Roman" w:eastAsia="Times New Roman" w:hAnsi="Times New Roman" w:cs="Times New Roman"/>
          <w:sz w:val="24"/>
          <w:szCs w:val="24"/>
          <w:lang w:eastAsia="de-DE"/>
        </w:rPr>
        <w:t>,</w:t>
      </w:r>
      <w:r w:rsidRPr="00CB509C">
        <w:rPr>
          <w:rFonts w:ascii="Times New Roman" w:eastAsia="Times New Roman" w:hAnsi="Times New Roman" w:cs="Times New Roman"/>
          <w:sz w:val="24"/>
          <w:szCs w:val="24"/>
          <w:lang w:eastAsia="de-DE"/>
        </w:rPr>
        <w:t xml:space="preserve"> drive input demand and supply ultimately through rationing. </w:t>
      </w:r>
    </w:p>
    <w:p w14:paraId="28CCEE59" w14:textId="77777777" w:rsidR="00967553" w:rsidRPr="00CB509C" w:rsidRDefault="00967553" w:rsidP="00967553">
      <w:pPr>
        <w:spacing w:before="120" w:after="120" w:line="480" w:lineRule="auto"/>
        <w:jc w:val="both"/>
        <w:rPr>
          <w:rFonts w:ascii="Times New Roman" w:eastAsia="Calibri" w:hAnsi="Times New Roman" w:cs="Times New Roman"/>
          <w:sz w:val="24"/>
          <w:lang w:val="en-GB" w:eastAsia="de-DE"/>
        </w:rPr>
      </w:pPr>
      <w:bookmarkStart w:id="9" w:name="_Hlk73631526"/>
      <w:bookmarkEnd w:id="8"/>
      <w:r w:rsidRPr="00CB509C">
        <w:rPr>
          <w:rFonts w:ascii="Times New Roman" w:eastAsia="Calibri" w:hAnsi="Times New Roman" w:cs="Times New Roman"/>
          <w:sz w:val="24"/>
          <w:lang w:eastAsia="de-DE"/>
        </w:rPr>
        <w:t xml:space="preserve">Moreover, </w:t>
      </w:r>
      <w:r w:rsidRPr="00CB509C">
        <w:rPr>
          <w:rFonts w:ascii="Times New Roman" w:eastAsia="Calibri" w:hAnsi="Times New Roman" w:cs="Times New Roman"/>
          <w:sz w:val="24"/>
          <w:lang w:val="en-GB" w:eastAsia="de-DE"/>
        </w:rPr>
        <w:t>ineffective coordination and collaboration among public agencies and between state-led agencies and NGOs may result in divergent objectives, lengthy bureaucratic processes, and inefficient distribution system</w:t>
      </w:r>
      <w:r w:rsidR="005044C1">
        <w:rPr>
          <w:rFonts w:ascii="Times New Roman" w:eastAsia="Calibri" w:hAnsi="Times New Roman" w:cs="Times New Roman"/>
          <w:sz w:val="24"/>
          <w:lang w:val="en-GB" w:eastAsia="de-DE"/>
        </w:rPr>
        <w:t>s</w:t>
      </w:r>
      <w:r w:rsidRPr="00CB509C">
        <w:rPr>
          <w:rFonts w:ascii="Times New Roman" w:eastAsia="Calibri" w:hAnsi="Times New Roman" w:cs="Times New Roman"/>
          <w:sz w:val="24"/>
          <w:lang w:val="en-GB" w:eastAsia="de-DE"/>
        </w:rPr>
        <w:t xml:space="preserve"> and information flow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{"citationItems":[{"id":"ITEM-1","itemData":{"ISBN":"0000000175","author":[{"dropping-particle":"","family":"Holden","given":"Stein T","non-dropping-particle":"","parse-names":false,"suffix":""}],"collection-title":"18","id":"ITEM-1","issue":"September","issued":{"date-parts":[["2018"]]},"number":"9","title":"The Economics of Fertilizer Subsidies","type":"report"},"uris":["http://www.mendeley.com/documents/?uuid=50a5c3d3-b57f-497a-bc92-7dd7b43f6dd5"]},{"id":"ITEM-2","itemData":{"DOI":"10.1093/acprof:oso/9780199683529.001.0001","ISBN":"9780199683529","ISSN":"18255167","abstract":"Temporary employment has become a focus of policy debate, theory, and research. This book addresses the relationship between temporary employment contracts and employee well-being. It does so within the analytic framework of the psychological contract, and advances theory and knowledge about the psychological contract by exploring it from a variety of perspectives. It also sets the psychological contract within the context of a range of other potential influences on work-related well-being including workload, job insecurity, employability, and organizational support. The book identifies the relative importance of these various potential influences on well-being, covering seven countries; Belgium, Germany, The Netherlands, Spain, Sweden, and the UK, as well as Israel as a comparator outside Europe. The book's conclusions are interesting and controversial. The central finding is that contrary to expectations, temporary workers report higher well-being than permanent workers. As expected, a range of factors help to explain variations in work-related well-being and the research highlights the important role of the psychological contract. However, even after taking into account alternative explanations, the significant influence of type of employment contract remains, with temporary workers reporting higher well-being. In addition to this core finding, by exploring several aspects of the psychological contract, and taking into account both employer and employee perspectives, the book sheds light on the nature and role of the psychological contract. It also raises some challenging policy questions and while acknowledging the potentially precarious nature of temporary jobs, highlights the need to consider the increasingly demanding nature of permanent jobs and their effects on the well-being of employees.","author":[{"dropping-particle":"","family":"Chirwa","given":"Ephraim","non-dropping-particle":"","parse-names":false,"suffix":""},{"dropping-particle":"","family":"Dorward","given":"Andrew","non-dropping-particle":"","parse-names":false,"suffix":""}],"container-title":"Oxford Scholarship Online","id":"ITEM-2","issue":"1","issued":{"date-parts":[["2013","9","26"]]},"number-of-pages":"583-605","publisher":"Oxford University Press","title":"Agricultural Input Subsidies: The Recent Malawi Experience","type":"book","volume":"15"},"uris":["http://www.mendeley.com/documents/?uuid=6060e4f5-c61f-4d4d-9fca-b2546f76f0b9"]},{"id":"ITEM-3","itemData":{"DOI":"10.1016/j.jbusvent.2011.11.002","ISSN":"08839026","abstract":"This study introduces a novel multidimensional measure of the entrepreneurial environment that reveals how differences in institutional arrangements influence both the rate and the type of entrepreneurial activity in a country. Drawing from institutional theory, the measure examines the regulatory, normative, and cognitive dimensions of entrepreneurial activity, and introduces a novel conducive dimension that measures a country's capability to support high-impact entrepreneurship. Our findings suggest that differences in institutional arrangements are associated with variance in both the rate and type of entrepreneurial activity across countries. For the formation of innovative, high-growth new ventures, the regulative environment matters very little. For high-impact entrepreneurship an institutional environment filled with new opportunities created by knowledge spillovers and the capital necessary for high-impact entrepreneurship matter most. © 2011 Elsevier Inc.","author":[{"dropping-particle":"","family":"Stenholm","given":"Pekka","non-dropping-particle":"","parse-names":false,"suffix":""},{"dropping-particle":"","family":"Acs","given":"Zoltan J.","non-dropping-particle":"","parse-names":false,"suffix":""},{"dropping-particle":"","family":"Wuebker","given":"Robert","non-dropping-particle":"","parse-names":false,"suffix":""}],"container-title":"Journal of Business Venturing","id":"ITEM-3","issue":"1","issued":{"date-parts":[["2013"]]},"page":"176-193","publisher":"Elsevier Inc.","title":"Exploring country-level institutional arrangements on the rate and type of entrepreneurial activity","type":"article-journal","volume":"28"},"uris":["http://www.mendeley.com/documents/?uuid=0f0b1897-f29d-4663-804e-82c6370de962"]},{"id":"ITEM-4","itemData":{"DOI":"10.1111/agec.12075","ISSN":"01695150","author":[{"dropping-particle":"","family":"Liverpool-Tasie","given":"Lenis Saweda O","non-dropping-particle":"","parse-names":false,"suffix":""},{"dropping-particle":"","family":"Takeshima","given":"Hiroyuki","non-dropping-particle":"","parse-names":false,"suffix":""}],"container-title":"Agricultural Economics (United Kingdom)","id":"ITEM-4","issue":"6","issued":{"date-parts":[["2013"]]},"page":"581-594","title":"Input promotion within a complex subsector: Fertilizer in Nigeria","type":"article-journal","volume":"44"},"uris":["http://www.mendeley.com/documents/?uuid=b5101a97-6bcf-4f33-a253-f15a3c3d1313"]}],"mendeley":{"formattedCitation":"(Chirwa &amp; Dorward, 2013; Holden, 2018; Liverpool-Tasie &amp; Takeshima, 2013; Stenholm et al., 2013)","manualFormatting":"(Chirwa &amp; Dorward, 2013; Holden, 2018; Liverpool-Tasie &amp; Takeshima, 2013; Stenholm et al., 2013)","plainTextFormattedCitation":"(Chirwa &amp; Dorward, 2013; Holden, 2018; Liverpool-Tasie &amp; Takeshima, 2013; Stenholm et al., 2013)","previouslyFormattedCitation":"(Chirwa &amp; Dorward, 2013; Holden, 2018; Liverpool-Tasie &amp; Takeshima, 2013; Stenholm et al., 2013)"},"properties":{"noteIndex":0},"schema":"https://github.com/citation-style-language/schema/raw/master/csl-citation.json"}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(Chirwa &amp; Dorward, 2013; Holden, 2018; Liverpool-Tasie &amp; Takeshima, 2013; Stenholm et al., 2013)</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w:t>
      </w:r>
      <w:bookmarkEnd w:id="9"/>
      <w:r w:rsidRPr="00CB509C">
        <w:rPr>
          <w:rFonts w:ascii="Times New Roman" w:eastAsia="Calibri" w:hAnsi="Times New Roman" w:cs="Times New Roman"/>
          <w:sz w:val="24"/>
          <w:lang w:val="en-GB" w:eastAsia="de-DE"/>
        </w:rPr>
        <w:t xml:space="preserve"> Previous studies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{"citationItems":[{"id":"ITEM-1","itemData":{"DOI":"10.1007/s12571-017-0716-9","ISSN":"18764525","abstract":"After decades of neglect, agricultural mechanisation is back on the development agenda in Africa. Taking the mechanisation efforts of Ghana as an example, this paper analyses the governance challenges involved in government and private sector efforts to promote mechanisation in smallholder-based farming systems. To identify these governance challenges, this paper develops a conceptual framework that combines the agricultural innovation system approach with the concepts of New Institutional Economics. Two qualitative empirical methods were used to apply the framework: the Net-Map technique, which is a participatory mapping tool, and expert / key informant interviews. The results show that next to well-known problems such as market failures concerning access to spare-parts supplies and credit, mechanisation is constrained by missing institutions, particularly those that would be required to ensure adequate skill development of tractor-operators and technicians. In addition, exchange rate fluctuations and impeding customs practices prevent stronger private sector involvement in mechanisation. Governance challenges such as political interest and elite capture were found to limit the effectiveness of government imports of tractors and machinery. The findings suggest that instead of focusing on the supply of subsidised machinery, the government could be more effective by investing in institutional development to strengthen the agricultural innovation system for mechanisation and to support emerging private sector initiatives.","author":[{"dropping-particle":"","family":"Daum","given":"Thomas","non-dropping-particle":"","parse-names":false,"suffix":""},{"dropping-particle":"","family":"Birner","given":"Regina","non-dropping-particle":"","parse-names":false,"suffix":""}],"container-title":"Food Security","id":"ITEM-1","issue":"5","issued":{"date-parts":[["2017"]]},"page":"959-979","publisher":"Food Security","title":"The neglected governance challenges of agricultural mechanisation in Africa – insights from Ghana","type":"article-journal","volume":"9"},"uris":["http://www.mendeley.com/documents/?uuid=815139fb-e1c5-430e-80ef-16f07838cf47"]},{"id":"ITEM-2","itemData":{"DOI":"10.1016/j.foodpol.2015.04.003","ISSN":"03069192","abstract":"The last decade has seen a resurgence in the use of fertilizer subsidies in sub-Saharan Africa. However, there is limited empirical evidence on the effects of fertilizer subsidy programs on local food prices. Using an instrumental variables approach, we explore the effect of a fertilizer subsidy program on the seasonal growth rates of grain prices in Nigeria. Our results suggest that the fertilizer subsidy program had very small effects on the growth rates of grain prices between the post-planting and post-harvesting seasons. We also find that political influence played a role in the distribution of subsidized fertilizer. We discuss how the weak effects on the price growth rates may be caused by low market orientation, output market structures, greater focus on farmers' incomes, low marginal productivity of fertilizer, and politically influenced targeting.","author":[{"dropping-particle":"","family":"Takeshima","given":"Hiroyuki","non-dropping-particle":"","parse-names":false,"suffix":""},{"dropping-particle":"","family":"Liverpool-Tasie","given":"Lenis Saweda O.","non-dropping-particle":"","parse-names":false,"suffix":""}],"container-title":"Food Policy","id":"ITEM-2","issued":{"date-parts":[["2015"]]},"page":"11-24","publisher":"Elsevier Ltd","title":"Fertilizer subsidies, political influence and local food prices in sub-Saharan Africa: Evidence from Nigeria","type":"article-journal","volume":"54"},"uris":["http://www.mendeley.com/documents/?uuid=520828e5-48a0-4ebc-8920-58ededba28de"]},{"id":"ITEM-3","itemData":{"DOI":"10.1016/j.worlddev.2012.04.012","ISSN":"0305750X","abstract":"Through decentralized targeting of input vouchers new agricultural input subsidy programs aim to more effectively reach their objectives and target population. But, lingering fears of elite capture remain. These are borne out in the 2009 input voucher program in Kilimanjaro, Tanzania. Sixty percent of the voucher beneficiaries were households with village officials. This significantly reduced the targeting performance of the program, especially in unequal and remote communities. When targeting the poor, greater coverage and concentration in higher trust settings mitigated these concerns. Scrutiny remains important when relying on decentralized targeting, as is a clearer sense of purpose of input vouchers. © 2012 Elsevier Ltd.","author":[{"dropping-particle":"","family":"Pan","given":"Lei","non-dropping-particle":"","parse-names":false,"suffix":""},{"dropping-particle":"","family":"Christiaensen","given":"Luc","non-dropping-particle":"","parse-names":false,"suffix":""}],"container-title":"World Development","id":"ITEM-3","issue":"8","issued":{"date-parts":[["2012"]]},"page":"1619-1633","publisher":"Elsevier Ltd","title":"Who is Vouching for the Input Voucher? Decentralized Targeting and Elite Capture in Tanzania","type":"article-journal","volume":"40"},"uris":["http://www.mendeley.com/documents/?uuid=630bfbba-a8dc-479b-9712-6322b9b2b015"]}],"mendeley":{"formattedCitation":"(Daum &amp; Birner, 2017; Pan &amp; Christiaensen, 2012; Takeshima &amp; Liverpool-Tasie, 2015)","plainTextFormattedCitation":"(Daum &amp; Birner, 2017; Pan &amp; Christiaensen, 2012; Takeshima &amp; Liverpool-Tasie, 2015)","previouslyFormattedCitation":"(Daum &amp; Birner, 2017; Pan &amp; Christiaensen, 2012; Takeshima &amp; Liverpool-Tasie, 2015)"},"properties":{"noteIndex":0},"schema":"https://github.com/citation-style-language/schema/raw/master/csl-citation.json"}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(Daum &amp; Birner, 2017; Pan &amp; Christiaensen, 2012; Takeshima &amp; Liverpool-Tasie, 2015)</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xml:space="preserve"> have shown that s</w:t>
      </w:r>
      <w:proofErr w:type="spellStart"/>
      <w:r w:rsidRPr="00CB509C">
        <w:rPr>
          <w:rFonts w:ascii="Times New Roman" w:eastAsia="Calibri" w:hAnsi="Times New Roman" w:cs="Times New Roman"/>
          <w:sz w:val="24"/>
          <w:lang w:eastAsia="de-DE"/>
        </w:rPr>
        <w:t>uitable</w:t>
      </w:r>
      <w:proofErr w:type="spellEnd"/>
      <w:r w:rsidRPr="00CB509C">
        <w:rPr>
          <w:rFonts w:ascii="Times New Roman" w:eastAsia="Calibri" w:hAnsi="Times New Roman" w:cs="Times New Roman"/>
          <w:sz w:val="24"/>
          <w:lang w:eastAsia="de-DE"/>
        </w:rPr>
        <w:t xml:space="preserve"> recipients are excluded because ineffective institutional settings and </w:t>
      </w:r>
      <w:r w:rsidR="005044C1">
        <w:rPr>
          <w:rFonts w:ascii="Times New Roman" w:eastAsia="Calibri" w:hAnsi="Times New Roman" w:cs="Times New Roman"/>
          <w:sz w:val="24"/>
          <w:lang w:eastAsia="de-DE"/>
        </w:rPr>
        <w:t xml:space="preserve">a </w:t>
      </w:r>
      <w:r w:rsidRPr="00CB509C">
        <w:rPr>
          <w:rFonts w:ascii="Times New Roman" w:eastAsia="Times New Roman" w:hAnsi="Times New Roman" w:cs="Times New Roman"/>
          <w:sz w:val="24"/>
          <w:szCs w:val="24"/>
          <w:lang w:val="en-GB" w:eastAsia="de-DE"/>
        </w:rPr>
        <w:t xml:space="preserve">lack of </w:t>
      </w:r>
      <w:r w:rsidRPr="00CB509C">
        <w:rPr>
          <w:rFonts w:ascii="Times New Roman" w:eastAsia="Calibri" w:hAnsi="Times New Roman" w:cs="Times New Roman"/>
          <w:sz w:val="24"/>
          <w:lang w:eastAsia="de-DE"/>
        </w:rPr>
        <w:t>up-to-date agricultural data make s</w:t>
      </w:r>
      <w:proofErr w:type="spellStart"/>
      <w:r w:rsidRPr="00CB509C">
        <w:rPr>
          <w:rFonts w:ascii="Times New Roman" w:eastAsia="Calibri" w:hAnsi="Times New Roman" w:cs="Times New Roman"/>
          <w:sz w:val="24"/>
          <w:lang w:val="en-GB" w:eastAsia="de-DE"/>
        </w:rPr>
        <w:t>tate</w:t>
      </w:r>
      <w:proofErr w:type="spellEnd"/>
      <w:r w:rsidRPr="00CB509C">
        <w:rPr>
          <w:rFonts w:ascii="Times New Roman" w:eastAsia="Calibri" w:hAnsi="Times New Roman" w:cs="Times New Roman"/>
          <w:sz w:val="24"/>
          <w:lang w:val="en-GB" w:eastAsia="de-DE"/>
        </w:rPr>
        <w:t xml:space="preserve"> interventions too generic and unsuited to recipients’ situations. </w:t>
      </w:r>
    </w:p>
    <w:p w14:paraId="28CCEE5A" w14:textId="695EAB83" w:rsidR="00967553" w:rsidRPr="00CB509C" w:rsidRDefault="00967553" w:rsidP="00967553">
      <w:pPr>
        <w:spacing w:after="0" w:line="480" w:lineRule="auto"/>
        <w:jc w:val="both"/>
        <w:rPr>
          <w:rFonts w:ascii="Times New Roman" w:eastAsia="Calibri" w:hAnsi="Times New Roman" w:cs="Times New Roman"/>
          <w:sz w:val="24"/>
          <w:lang w:val="en-GB" w:eastAsia="de-DE"/>
        </w:rPr>
      </w:pPr>
      <w:bookmarkStart w:id="10" w:name="_Hlk74066779"/>
      <w:bookmarkEnd w:id="7"/>
      <w:r w:rsidRPr="00CB509C">
        <w:rPr>
          <w:rFonts w:ascii="Times New Roman" w:eastAsia="Calibri" w:hAnsi="Times New Roman" w:cs="Times New Roman"/>
          <w:sz w:val="24"/>
          <w:lang w:val="en-GB" w:eastAsia="de-DE"/>
        </w:rPr>
        <w:lastRenderedPageBreak/>
        <w:t>Widespread corruption, reallocation, and smuggling of subsidi</w:t>
      </w:r>
      <w:r w:rsidR="009E5062">
        <w:rPr>
          <w:rFonts w:ascii="Times New Roman" w:eastAsia="Calibri" w:hAnsi="Times New Roman" w:cs="Times New Roman"/>
          <w:sz w:val="24"/>
          <w:lang w:val="en-GB" w:eastAsia="de-DE"/>
        </w:rPr>
        <w:t>z</w:t>
      </w:r>
      <w:r w:rsidRPr="00CB509C">
        <w:rPr>
          <w:rFonts w:ascii="Times New Roman" w:eastAsia="Calibri" w:hAnsi="Times New Roman" w:cs="Times New Roman"/>
          <w:sz w:val="24"/>
          <w:lang w:val="en-GB" w:eastAsia="de-DE"/>
        </w:rPr>
        <w:t xml:space="preserve">ed inputs are common features in government-led ISPs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{"citationItems":[{"id":"ITEM-1","itemData":{"DOI":"10.1111/agec.12075","ISSN":"01695150","author":[{"dropping-particle":"","family":"Liverpool-Tasie","given":"Lenis Saweda O","non-dropping-particle":"","parse-names":false,"suffix":""},{"dropping-particle":"","family":"Takeshima","given":"Hiroyuki","non-dropping-particle":"","parse-names":false,"suffix":""}],"container-title":"Agricultural Economics (United Kingdom)","id":"ITEM-1","issue":"6","issued":{"date-parts":[["2013"]]},"page":"581-594","title":"Input promotion within a complex subsector: Fertilizer in Nigeria","type":"article-journal","volume":"44"},"uris":["http://www.mendeley.com/documents/?uuid=b5101a97-6bcf-4f33-a253-f15a3c3d1313"]},{"id":"ITEM-2","itemData":{"ISBN":"0000000175","author":[{"dropping-particle":"","family":"Holden","given":"Stein T","non-dropping-particle":"","parse-names":false,"suffix":""}],"collection-title":"18","id":"ITEM-2","issue":"September","issued":{"date-parts":[["2018"]]},"number":"9","title":"The Economics of Fertilizer Subsidies","type":"report"},"uris":["http://www.mendeley.com/documents/?uuid=50a5c3d3-b57f-497a-bc92-7dd7b43f6dd5"]}],"mendeley":{"formattedCitation":"(Holden, 2018; Liverpool-Tasie &amp; Takeshima, 2013)","manualFormatting":"(Holden, 2018; Liverpool-Tasie &amp; Takeshima, 2013)","plainTextFormattedCitation":"(Holden, 2018; Liverpool-Tasie &amp; Takeshima, 2013)","previouslyFormattedCitation":"(Holden, 2018; Liverpool-Tasie &amp; Takeshima, 2013)"},"properties":{"noteIndex":0},"schema":"https://github.com/citation-style-language/schema/raw/master/csl-citation.json"}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(Holden, 2018; Liverpool-Tasie &amp; Takeshima, 2013)</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While the tendering process for input procurement is liable to bribery, farmers often make kickback payments before receiving subsidi</w:t>
      </w:r>
      <w:r w:rsidR="009E5062">
        <w:rPr>
          <w:rFonts w:ascii="Times New Roman" w:eastAsia="Calibri" w:hAnsi="Times New Roman" w:cs="Times New Roman"/>
          <w:sz w:val="24"/>
          <w:lang w:val="en-GB" w:eastAsia="de-DE"/>
        </w:rPr>
        <w:t>z</w:t>
      </w:r>
      <w:r w:rsidRPr="00CB509C">
        <w:rPr>
          <w:rFonts w:ascii="Times New Roman" w:eastAsia="Calibri" w:hAnsi="Times New Roman" w:cs="Times New Roman"/>
          <w:sz w:val="24"/>
          <w:lang w:val="en-GB" w:eastAsia="de-DE"/>
        </w:rPr>
        <w:t xml:space="preserve">ed inputs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{"citationItems":[{"id":"ITEM-1","itemData":{"ISBN":"0000000175","author":[{"dropping-particle":"","family":"Holden","given":"Stein T","non-dropping-particle":"","parse-names":false,"suffix":""}],"collection-title":"18","id":"ITEM-1","issue":"September","issued":{"date-parts":[["2018"]]},"number":"9","title":"The Economics of Fertilizer Subsidies","type":"report"},"uris":["http://www.mendeley.com/documents/?uuid=50a5c3d3-b57f-497a-bc92-7dd7b43f6dd5"]}],"mendeley":{"formattedCitation":"(Holden, 2018)","plainTextFormattedCitation":"(Holden, 2018)","previouslyFormattedCitation":"(Holden, 2018)"},"properties":{"noteIndex":0},"schema":"https://github.com/citation-style-language/schema/raw/master/csl-citation.json"}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(Holden, 2018)</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xml:space="preserve">. Kickbacks at the port and checkpoints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ISBN":"0032004200520","author":[{"dropping-particle":"","family":"Cadoni","given":"P.","non-dropping-particle":"","parse-names":false,"suffix":""},{"dropping-particle":"","family":"Angelucci","given":"F.","non-dropping-particle":"","parse-names":false,"suffix":""}],"id":"ITEM-1","issue":"July","issued":{"date-parts":[["2013"]]},"number-of-pages":"1-265","publisher-place":"Rome","title":"Analysis of Incentives and Disincentives for Maize in Nigeria","type":"report"},"uris":["http://www.mendeley.com/documents/?uuid=0828ba38-c19e-40d7-93f8-606373bf5b21"]}],"mendeley":{"formattedCitation":"(Cadoni &amp; Angelucci, 2013)","plainTextFormattedCitation":"(Cadoni &amp; Angelucci, 2013)","previouslyFormattedCitation":"(Cadoni &amp; Angelucci, 2013)"},"properties":{"noteIndex":0},"schema":"https://github.com/citation-style-language/schema/raw/master/csl-citation.json"}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(Cadoni &amp; Angelucci, 2013)</w:t>
      </w:r>
      <w:r w:rsidRPr="00CB509C">
        <w:rPr>
          <w:rFonts w:ascii="Times New Roman" w:eastAsia="Calibri" w:hAnsi="Times New Roman" w:cs="Times New Roman"/>
          <w:sz w:val="24"/>
          <w:lang w:val="en-GB" w:eastAsia="de-DE"/>
        </w:rPr>
        <w:fldChar w:fldCharType="end"/>
      </w:r>
      <w:bookmarkStart w:id="11" w:name="_Hlk73630795"/>
      <w:bookmarkEnd w:id="10"/>
      <w:r>
        <w:rPr>
          <w:rFonts w:ascii="Times New Roman" w:eastAsia="Calibri" w:hAnsi="Times New Roman" w:cs="Times New Roman"/>
          <w:sz w:val="24"/>
          <w:lang w:val="en-GB" w:eastAsia="de-DE"/>
        </w:rPr>
        <w:t>, as well as elite capture, clientelism, and political targeting,</w:t>
      </w:r>
      <w:r w:rsidRPr="00CB509C">
        <w:rPr>
          <w:rFonts w:ascii="Times New Roman" w:eastAsia="Calibri" w:hAnsi="Times New Roman" w:cs="Times New Roman"/>
          <w:sz w:val="24"/>
          <w:lang w:val="en-GB" w:eastAsia="de-DE"/>
        </w:rPr>
        <w:t xml:space="preserve"> have been identified as common challenges in many state-led programmes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{"citationItems":[{"id":"ITEM-1","itemData":{"DOI":"10.1007/s12571-017-0716-9","ISSN":"18764525","abstract":"After decades of neglect, agricultural mechanisation is back on the development agenda in Africa. Taking the mechanisation efforts of Ghana as an example, this paper analyses the governance challenges involved in government and private sector efforts to promote mechanisation in smallholder-based farming systems. To identify these governance challenges, this paper develops a conceptual framework that combines the agricultural innovation system approach with the concepts of New Institutional Economics. Two qualitative empirical methods were used to apply the framework: the Net-Map technique, which is a participatory mapping tool, and expert / key informant interviews. The results show that next to well-known problems such as market failures concerning access to spare-parts supplies and credit, mechanisation is constrained by missing institutions, particularly those that would be required to ensure adequate skill development of tractor-operators and technicians. In addition, exchange rate fluctuations and impeding customs practices prevent stronger private sector involvement in mechanisation. Governance challenges such as political interest and elite capture were found to limit the effectiveness of government imports of tractors and machinery. The findings suggest that instead of focusing on the supply of subsidised machinery, the government could be more effective by investing in institutional development to strengthen the agricultural innovation system for mechanisation and to support emerging private sector initiatives.","author":[{"dropping-particle":"","family":"Daum","given":"Thomas","non-dropping-particle":"","parse-names":false,"suffix":""},{"dropping-particle":"","family":"Birner","given":"Regina","non-dropping-particle":"","parse-names":false,"suffix":""}],"container-title":"Food Security","id":"ITEM-1","issue":"5","issued":{"date-parts":[["2017"]]},"page":"959-979","publisher":"Food Security","title":"The neglected governance challenges of agricultural mechanisation in Africa – insights from Ghana","type":"article-journal","volume":"9"},"uris":["http://www.mendeley.com/documents/?uuid=815139fb-e1c5-430e-80ef-16f07838cf47"]},{"id":"ITEM-2","itemData":{"DOI":"10.1016/j.worlddev.2012.11.006","ISSN":"0305750X","abstract":"This study uses nationally representative household-level panel data from Malawi and Zambia to identify the determinants of subsidized maize seed and fertilizer receipt, and to estimate how input subsidies affect households' commercial purchases of improved maize seed varieties. In both countries we find that households in areas where the ruling party won the last presidential election acquire significantly more subsidized inputs than other households. Results also indicate that each additional kilogram of subsidized maize seed acquired by a household reduces its commercial improved maize seed purchases by 0.58. kg in Malawi and by 0.49. kg in Zambia on average. © 2012 Elsevier Ltd.","author":[{"dropping-particle":"","family":"Mason","given":"Nicole M.","non-dropping-particle":"","parse-names":false,"suffix":""},{"dropping-particle":"","family":"Ricker-Gilbert","given":"Jacob","non-dropping-particle":"","parse-names":false,"suffix":""}],"container-title":"World Development","id":"ITEM-2","issued":{"date-parts":[["2013"]]},"page":"75-91","publisher":"Elsevier Ltd","title":"Disrupting Demand for Commercial Seed: Input Subsidies in Malawi and Zambia","type":"article-journal","volume":"45"},"uris":["http://www.mendeley.com/documents/?uuid=bab31037-bd19-4ffa-bebd-5ae604a2b810"]}],"mendeley":{"formattedCitation":"(Daum &amp; Birner, 2017; Mason &amp; Ricker-Gilbert, 2013)","plainTextFormattedCitation":"(Daum &amp; Birner, 2017; Mason &amp; Ricker-Gilbert, 2013)","previouslyFormattedCitation":"(Daum &amp; Birner, 2017; Mason &amp; Ricker-Gilbert, 2013)"},"properties":{"noteIndex":0},"schema":"https://github.com/citation-style-language/schema/raw/master/csl-citation.json"}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(Daum &amp; Birner, 2017; Mason &amp; Ricker-Gilbert, 2013)</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Equally, the rationing of subsidi</w:t>
      </w:r>
      <w:r w:rsidR="009E5062">
        <w:rPr>
          <w:rFonts w:ascii="Times New Roman" w:eastAsia="Calibri" w:hAnsi="Times New Roman" w:cs="Times New Roman"/>
          <w:sz w:val="24"/>
          <w:lang w:val="en-GB" w:eastAsia="de-DE"/>
        </w:rPr>
        <w:t>z</w:t>
      </w:r>
      <w:r w:rsidRPr="00CB509C">
        <w:rPr>
          <w:rFonts w:ascii="Times New Roman" w:eastAsia="Calibri" w:hAnsi="Times New Roman" w:cs="Times New Roman"/>
          <w:sz w:val="24"/>
          <w:lang w:val="en-GB" w:eastAsia="de-DE"/>
        </w:rPr>
        <w:t xml:space="preserve">ed inputs and the selection of targeted areas in ISPs are often political. In Nigeria, political leaders chose target areas to gain political support or reward previous political victories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{"citationItems":[{"id":"ITEM-1","itemData":{"DOI":"10.1111/agec.12075","ISSN":"01695150","author":[{"dropping-particle":"","family":"Liverpool-Tasie","given":"Lenis Saweda O","non-dropping-particle":"","parse-names":false,"suffix":""},{"dropping-particle":"","family":"Takeshima","given":"Hiroyuki","non-dropping-particle":"","parse-names":false,"suffix":""}],"container-title":"Agricultural Economics (United Kingdom)","id":"ITEM-1","issue":"6","issued":{"date-parts":[["2013"]]},"page":"581-594","title":"Input promotion within a complex subsector: Fertilizer in Nigeria","type":"article-journal","volume":"44"},"uris":["http://www.mendeley.com/documents/?uuid=b5101a97-6bcf-4f33-a253-f15a3c3d1313"]}],"mendeley":{"formattedCitation":"(Liverpool-Tasie &amp; Takeshima, 2013)","manualFormatting":"Liverpool-Tasie &amp; Takeshima, 2013)","plainTextFormattedCitation":"(Liverpool-Tasie &amp; Takeshima, 2013)","previouslyFormattedCitation":"(Liverpool-Tasie &amp; Takeshima, 2013)"},"properties":{"noteIndex":0},"schema":"https://github.com/citation-style-language/schema/raw/master/csl-citation.json"}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Liverpool-Tasie &amp; Takeshima, 2013)</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xml:space="preserve">. Likewise, the targeting and distribution roles of </w:t>
      </w:r>
      <w:proofErr w:type="spellStart"/>
      <w:r w:rsidRPr="00CB509C">
        <w:rPr>
          <w:rFonts w:ascii="Times New Roman" w:eastAsia="Calibri" w:hAnsi="Times New Roman" w:cs="Times New Roman"/>
          <w:sz w:val="24"/>
          <w:lang w:val="en-GB" w:eastAsia="de-DE"/>
        </w:rPr>
        <w:t>agro</w:t>
      </w:r>
      <w:proofErr w:type="spellEnd"/>
      <w:r w:rsidRPr="00CB509C">
        <w:rPr>
          <w:rFonts w:ascii="Times New Roman" w:eastAsia="Calibri" w:hAnsi="Times New Roman" w:cs="Times New Roman"/>
          <w:sz w:val="24"/>
          <w:lang w:val="en-GB" w:eastAsia="de-DE"/>
        </w:rPr>
        <w:t xml:space="preserve">-suppliers were replaced by local political leaders. </w:t>
      </w:r>
    </w:p>
    <w:p w14:paraId="28CCEE5B" w14:textId="77777777" w:rsidR="00967553" w:rsidRPr="00CB509C" w:rsidRDefault="00967553" w:rsidP="00967553">
      <w:pPr>
        <w:keepNext/>
        <w:keepLines/>
        <w:spacing w:before="200" w:after="0" w:line="480" w:lineRule="auto"/>
        <w:jc w:val="both"/>
        <w:outlineLvl w:val="2"/>
        <w:rPr>
          <w:rFonts w:ascii="Times New Roman" w:eastAsia="Times New Roman" w:hAnsi="Times New Roman" w:cs="Times New Roman"/>
          <w:b/>
          <w:bCs/>
          <w:i/>
          <w:sz w:val="24"/>
          <w:lang w:val="en-GB" w:eastAsia="de-DE"/>
        </w:rPr>
      </w:pPr>
      <w:bookmarkStart w:id="12" w:name="_Ref65592876"/>
      <w:bookmarkEnd w:id="11"/>
      <w:r w:rsidRPr="00CB509C">
        <w:rPr>
          <w:rFonts w:ascii="Times New Roman" w:eastAsia="Times New Roman" w:hAnsi="Times New Roman" w:cs="Times New Roman"/>
          <w:b/>
          <w:bCs/>
          <w:i/>
          <w:sz w:val="24"/>
          <w:lang w:val="en-GB" w:eastAsia="de-DE"/>
        </w:rPr>
        <w:t>2.2.3</w:t>
      </w:r>
      <w:r w:rsidRPr="00CB509C">
        <w:rPr>
          <w:rFonts w:ascii="Times New Roman" w:eastAsia="Times New Roman" w:hAnsi="Times New Roman" w:cs="Times New Roman"/>
          <w:b/>
          <w:bCs/>
          <w:i/>
          <w:sz w:val="24"/>
          <w:lang w:val="en-GB" w:eastAsia="de-DE"/>
        </w:rPr>
        <w:tab/>
        <w:t>Community-based failure</w:t>
      </w:r>
      <w:r w:rsidRPr="00CB509C">
        <w:rPr>
          <w:rFonts w:ascii="Times New Roman" w:eastAsia="Times New Roman" w:hAnsi="Times New Roman" w:cs="Times New Roman"/>
          <w:b/>
          <w:bCs/>
          <w:i/>
          <w:sz w:val="24"/>
          <w:lang w:val="en-GB"/>
        </w:rPr>
        <w:t xml:space="preserve"> </w:t>
      </w:r>
      <w:r w:rsidRPr="00CB509C">
        <w:rPr>
          <w:rFonts w:ascii="Times New Roman" w:eastAsia="Times New Roman" w:hAnsi="Times New Roman" w:cs="Times New Roman"/>
          <w:b/>
          <w:bCs/>
          <w:i/>
          <w:sz w:val="24"/>
          <w:lang w:val="en-GB" w:eastAsia="de-DE"/>
        </w:rPr>
        <w:t xml:space="preserve">in the input subsidy </w:t>
      </w:r>
      <w:bookmarkEnd w:id="12"/>
      <w:r w:rsidRPr="00CB509C">
        <w:rPr>
          <w:rFonts w:ascii="Times New Roman" w:eastAsia="Times New Roman" w:hAnsi="Times New Roman" w:cs="Times New Roman"/>
          <w:b/>
          <w:bCs/>
          <w:i/>
          <w:sz w:val="24"/>
          <w:lang w:val="en-GB" w:eastAsia="de-DE"/>
        </w:rPr>
        <w:t>programme</w:t>
      </w:r>
    </w:p>
    <w:p w14:paraId="28CCEE5C" w14:textId="5D4FC15C" w:rsidR="00967553" w:rsidRPr="00CB509C" w:rsidRDefault="00967553" w:rsidP="00967553">
      <w:pPr>
        <w:spacing w:after="0" w:line="480" w:lineRule="auto"/>
        <w:jc w:val="both"/>
        <w:rPr>
          <w:rFonts w:ascii="Times New Roman" w:eastAsia="Calibri" w:hAnsi="Times New Roman" w:cs="Times New Roman"/>
          <w:sz w:val="24"/>
          <w:lang w:val="en-GB" w:eastAsia="de-DE"/>
        </w:rPr>
      </w:pPr>
      <w:r w:rsidRPr="00CB509C">
        <w:rPr>
          <w:rFonts w:ascii="Times New Roman" w:eastAsia="Calibri" w:hAnsi="Times New Roman" w:cs="Times New Roman"/>
          <w:sz w:val="24"/>
          <w:lang w:val="en-GB" w:eastAsia="de-DE"/>
        </w:rPr>
        <w:t xml:space="preserve">Targeting in ISPs is complex because it involves both geographical (based on states, local government, and communities) and intra-community targeting (between different categories of farming households)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{"citationItems":[{"id":"ITEM-1","itemData":{"DOI":"10.1093/acprof:oso/9780199683529.001.0001","ISBN":"9780199683529","ISSN":"18255167","abstract":"Temporary employment has become a focus of policy debate, theory, and research. This book addresses the relationship between temporary employment contracts and employee well-being. It does so within the analytic framework of the psychological contract, and advances theory and knowledge about the psychological contract by exploring it from a variety of perspectives. It also sets the psychological contract within the context of a range of other potential influences on work-related well-being including workload, job insecurity, employability, and organizational support. The book identifies the relative importance of these various potential influences on well-being, covering seven countries; Belgium, Germany, The Netherlands, Spain, Sweden, and the UK, as well as Israel as a comparator outside Europe. The book's conclusions are interesting and controversial. The central finding is that contrary to expectations, temporary workers report higher well-being than permanent workers. As expected, a range of factors help to explain variations in work-related well-being and the research highlights the important role of the psychological contract. However, even after taking into account alternative explanations, the significant influence of type of employment contract remains, with temporary workers reporting higher well-being. In addition to this core finding, by exploring several aspects of the psychological contract, and taking into account both employer and employee perspectives, the book sheds light on the nature and role of the psychological contract. It also raises some challenging policy questions and while acknowledging the potentially precarious nature of temporary jobs, highlights the need to consider the increasingly demanding nature of permanent jobs and their effects on the well-being of employees.","author":[{"dropping-particle":"","family":"Chirwa","given":"Ephraim","non-dropping-particle":"","parse-names":false,"suffix":""},{"dropping-particle":"","family":"Dorward","given":"Andrew","non-dropping-particle":"","parse-names":false,"suffix":""}],"container-title":"Oxford Scholarship Online","id":"ITEM-1","issue":"1","issued":{"date-parts":[["2013","9","26"]]},"number-of-pages":"583-605","publisher":"Oxford University Press","title":"Agricultural Input Subsidies: The Recent Malawi Experience","type":"book","volume":"15"},"uris":["http://www.mendeley.com/documents/?uuid=6060e4f5-c61f-4d4d-9fca-b2546f76f0b9"]}],"mendeley":{"formattedCitation":"(Chirwa &amp; Dorward, 2013)","plainTextFormattedCitation":"(Chirwa &amp; Dorward, 2013)","previouslyFormattedCitation":"(Chirwa &amp; Dorward, 2013)"},"properties":{"noteIndex":0},"schema":"https://github.com/citation-style-language/schema/raw/master/csl-citation.json"}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(Chirwa &amp; Dorward, 2013)</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Intra-community targeting is costly for private and public stakeholders because farming households are classified according to their socioeconomic factors. Accordingly, the roles of the community (CO), farmer-based organi</w:t>
      </w:r>
      <w:r w:rsidR="009E5062">
        <w:rPr>
          <w:rFonts w:ascii="Times New Roman" w:eastAsia="Calibri" w:hAnsi="Times New Roman" w:cs="Times New Roman"/>
          <w:sz w:val="24"/>
          <w:lang w:val="en-GB" w:eastAsia="de-DE"/>
        </w:rPr>
        <w:t>z</w:t>
      </w:r>
      <w:r w:rsidRPr="00CB509C">
        <w:rPr>
          <w:rFonts w:ascii="Times New Roman" w:eastAsia="Calibri" w:hAnsi="Times New Roman" w:cs="Times New Roman"/>
          <w:sz w:val="24"/>
          <w:lang w:val="en-GB" w:eastAsia="de-DE"/>
        </w:rPr>
        <w:t xml:space="preserve">ations (FBO), and NGOs have been important in ISPs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{"citationItems":[{"id":"ITEM-1","itemData":{"DOI":"10.1016/j.foodpol.2018.01.003","ISSN":"03069192","abstract":"Input subsidy programs (ISPs) remain one of the most contentiously debated development issues in sub-Saharan Africa (SSA). After ISPs were phased out during the 1980s and 1990s, the landscape has changed profoundly since the early 2000s. By 2010, at least 10 African governments initiated a new wave of subsidy programs that were designed to overcome past performance challenges. This study provides the most comprehensive review of recent evidence to date regarding the performance of these second generation ISPs, synthesizing nearly 80 ISP-related studies from seven countries (Ghana, Nigeria, Kenya, Tanzania, Malawi, Zambia, and Ethiopia). We specifically evaluate ISP impacts on total fertilizer use, food production, commercial input distribution systems, food prices, wages, and poverty. We also consider measures that could enable ISPs to more cost-effectively achieve their objectives. We find that ISPs can quickly raise national food production, and that receiving subsidized inputs raises beneficiary households’ grain yields and production levels at least in the short-term. However, the overall production and welfare effects of subsidy programs tend to be smaller than expected. Two characteristics of program implementation consistently mitigate the intended effects of ISPs: (1) subsidy programs partially crowd out commercial fertilizer demand due to difficulties associated with targeting and sale of inputs by program implementers, and (2) lower than expected crop yield response to fertilizer on smallholder-managed fields. If these challenges could be addressed, ISPs could more effectively mitigate the concurrent challenges of rapid population growth and climate change in SSA.","author":[{"dropping-particle":"","family":"Jayne","given":"Thomas S.","non-dropping-particle":"","parse-names":false,"suffix":""},{"dropping-particle":"","family":"Ason","given":"Nicole M.","non-dropping-particle":"","parse-names":false,"suffix":""},{"dropping-particle":"","family":"Burke","given":"William J.","non-dropping-particle":"","parse-names":false,"suffix":""},{"dropping-particle":"","family":"Ariga","given":"Joshua","non-dropping-particle":"","parse-names":false,"suffix":""}],"container-title":"Food Policy","id":"ITEM-1","issue":"February","issued":{"date-parts":[["2018"]]},"page":"1-14","publisher":"Elsevier","title":"Review: Taking stock of Africa's second-generation agricultural input subsidy programs","type":"article-journal","volume":"75"},"uris":["http://www.mendeley.com/documents/?uuid=13702d9e-9a21-466f-b5d9-518038b6ee54"]},{"id":"ITEM-2","itemData":{"DOI":"10.1016/j.worlddev.2012.04.012","ISSN":"0305750X","abstract":"Through decentralized targeting of input vouchers new agricultural input subsidy programs aim to more effectively reach their objectives and target population. But, lingering fears of elite capture remain. These are borne out in the 2009 input voucher program in Kilimanjaro, Tanzania. Sixty percent of the voucher beneficiaries were households with village officials. This significantly reduced the targeting performance of the program, especially in unequal and remote communities. When targeting the poor, greater coverage and concentration in higher trust settings mitigated these concerns. Scrutiny remains important when relying on decentralized targeting, as is a clearer sense of purpose of input vouchers. © 2012 Elsevier Ltd.","author":[{"dropping-particle":"","family":"Pan","given":"Lei","non-dropping-particle":"","parse-names":false,"suffix":""},{"dropping-particle":"","family":"Christiaensen","given":"Luc","non-dropping-particle":"","parse-names":false,"suffix":""}],"container-title":"World Development","id":"ITEM-2","issue":"8","issued":{"date-parts":[["2012"]]},"page":"1619-1633","publisher":"Elsevier Ltd","title":"Who is Vouching for the Input Voucher? Decentralized Targeting and Elite Capture in Tanzania","type":"article-journal","volume":"40"},"uris":["http://www.mendeley.com/documents/?uuid=630bfbba-a8dc-479b-9712-6322b9b2b015"]},{"id":"ITEM-3","itemData":{"DOI":"10.1111/agec.12114","ISSN":"15740862","abstract":"This article estimates the effect of a fertilizer voucher program on farmer participation in the private fertilizer market in Nigeria. Using a double-hurdle model (to address corner solution challenges with estimating input demand) and a control function approach (to account for the endogeneity of subsidized fertilizer acquired), the study finds evidence that receiving subsidized fertilizer in Kano, Nigeria increased both the probability and extent of participation in the private fertilizer market. Findings demonstrate that under certain circumstances, e.g., where input dealers’ links to farmer are weak; there could be significant gains from the temporary use of voucher programs to strengthen such links.","author":[{"dropping-particle":"","family":"Liverpool-Tasie","given":"Lenis Saweda O.","non-dropping-particle":"","parse-names":false,"suffix":""}],"container-title":"Agricultural Economics (United Kingdom)","id":"ITEM-3","issue":"6","issued":{"date-parts":[["2014"]]},"page":"663-678","title":"Fertilizer subsidies and private market participation: The case of Kano State, Nigeria","type":"article-journal","volume":"45"},"uris":["http://www.mendeley.com/documents/?uuid=6e59263c-3268-4554-bca9-17e8361066ea"]}],"mendeley":{"formattedCitation":"(Thomas S. Jayne et al., 2018; Liverpool-Tasie, 2014b; Pan &amp; Christiaensen, 2012)","manualFormatting":"(Jayne et al., 2018; Liverpool-Tasie, 2014b; Pan &amp; Christiaensen, 2012)","plainTextFormattedCitation":"(Thomas S. Jayne et al., 2018; Liverpool-Tasie, 2014b; Pan &amp; Christiaensen, 2012)","previouslyFormattedCitation":"(Thomas S. Jayne et al., 2018; Liverpool-Tasie, 2014b; Pan &amp; Christiaensen, 2012)"},"properties":{"noteIndex":0},"schema":"https://github.com/citation-style-language/schema/raw/master/csl-citation.json"}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(Jayne et al., 2018; Liverpool-Tasie, 2014b; Pan &amp; Christiaensen, 2012)</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xml:space="preserve">. </w:t>
      </w:r>
    </w:p>
    <w:p w14:paraId="28CCEE5D" w14:textId="57B9CBCC" w:rsidR="00967553" w:rsidRPr="00CB509C" w:rsidRDefault="00967553" w:rsidP="00967553">
      <w:pPr>
        <w:spacing w:before="120" w:after="120" w:line="480" w:lineRule="auto"/>
        <w:jc w:val="both"/>
        <w:rPr>
          <w:rFonts w:ascii="Times New Roman" w:eastAsia="Calibri" w:hAnsi="Times New Roman" w:cs="Times New Roman"/>
          <w:sz w:val="24"/>
          <w:lang w:val="en-GB" w:eastAsia="de-DE"/>
        </w:rPr>
      </w:pPr>
      <w:r w:rsidRPr="00CB509C">
        <w:rPr>
          <w:rFonts w:ascii="Times New Roman" w:eastAsia="Calibri" w:hAnsi="Times New Roman" w:cs="Times New Roman"/>
          <w:sz w:val="24"/>
          <w:lang w:val="en-GB" w:eastAsia="de-DE"/>
        </w:rPr>
        <w:t xml:space="preserve">However, COs and </w:t>
      </w:r>
      <w:bookmarkStart w:id="13" w:name="_Hlk113664933"/>
      <w:r w:rsidRPr="00CB509C">
        <w:rPr>
          <w:rFonts w:ascii="Times New Roman" w:eastAsia="Calibri" w:hAnsi="Times New Roman" w:cs="Times New Roman"/>
          <w:sz w:val="24"/>
          <w:lang w:val="en-GB" w:eastAsia="de-DE"/>
        </w:rPr>
        <w:t>FBO</w:t>
      </w:r>
      <w:bookmarkEnd w:id="13"/>
      <w:r w:rsidRPr="00CB509C">
        <w:rPr>
          <w:rFonts w:ascii="Times New Roman" w:eastAsia="Calibri" w:hAnsi="Times New Roman" w:cs="Times New Roman"/>
          <w:sz w:val="24"/>
          <w:lang w:val="en-GB" w:eastAsia="de-DE"/>
        </w:rPr>
        <w:t xml:space="preserve">s face peculiar challenges such as </w:t>
      </w:r>
      <w:bookmarkStart w:id="14" w:name="_Hlk73869822"/>
      <w:r w:rsidRPr="00CB509C">
        <w:rPr>
          <w:rFonts w:ascii="Times New Roman" w:eastAsia="Calibri" w:hAnsi="Times New Roman" w:cs="Times New Roman"/>
          <w:sz w:val="24"/>
          <w:lang w:val="en-GB" w:eastAsia="de-DE"/>
        </w:rPr>
        <w:t>information asymmetry, elite capture and exclusion, limited capacity and financial base, and collective action problems</w:t>
      </w:r>
      <w:bookmarkEnd w:id="14"/>
      <w:r w:rsidRPr="00CB509C">
        <w:rPr>
          <w:rFonts w:ascii="Times New Roman" w:eastAsia="Calibri" w:hAnsi="Times New Roman" w:cs="Times New Roman"/>
          <w:sz w:val="24"/>
          <w:lang w:val="en-GB" w:eastAsia="de-DE"/>
        </w:rPr>
        <w:t xml:space="preserve"> that may lead to “community failure” in service provision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{"citationItems":[{"id":"ITEM-1","itemData":{"DOI":"10.1016/j.prevetmed.2018.05.009","ISSN":"01675877","abstract":"The outbreak of livestock diseases in Sub-Saharan African countries is the most critical challenge affecting the development potential of the livestock sector. Vaccination campaigns are one of the most important strategies to deal with this challenge. However, such campaigns are difficult to implement due to major governance challenges, such as delays in the procurement of vaccines and the disbursement of funds. This paper presents an in-depth analysis of these governance challenges, based on a case study of a Livestock Development Animal Health Project in Zambia. The goal was to examine in detail why these problems occur and how they are linked to the implementation procedure. A novel qualitative research tool called Process Net-Map, which is a visual participatory mapping technique was applied. The tool made it possible to develop an understanding of the exact implementation mechanism and to identify the different actors involved, including government officials, private sector companies, and farmers. The study revealed that the complex design of the procurement procedure, the limited capacity of the procuring entity, and a lack of urgency among the actors involved, resulted in the procurement delays. The findings also indicate that the delay in the release of funds arises because of a diversion of funds. Some strategies to improve the efficiency of the procurement process were identified, such as increasing the sense of urgency, building staff capacity, using e-procurement and entering into framework contracts with suppliers. Building sustainable financial capacity in the overall management of public funds seems essential to deal with the challenge of fund diversion. Use of Citizen Report Cards and lobbying political decision markers are some of the mechanisms that farmers can employ to increase their capacity to hold the animal health service providers accountable and demand better services. The problems identified are not only relevant for vaccination programs but are general implementation challenges encountered in developmental programs that involve the distribution of publicly procured inputs.","author":[{"dropping-particle":"","family":"Lubungu","given":"Mary","non-dropping-particle":"","parse-names":false,"suffix":""},{"dropping-particle":"","family":"Birner","given":"Regina","non-dropping-particle":"","parse-names":false,"suffix":""}],"container-title":"Preventive Veterinary Medicine","id":"ITEM-1","issue":"April","issued":{"date-parts":[["2018"]]},"page":"91-101","publisher":"Elsevier","title":"Using process net-map to analyse governance challenges: A case study of livestock vaccination campaigns in Zambia","type":"article-journal","volume":"156"},"uris":["http://www.mendeley.com/documents/?uuid=2adba865-4610-427a-a777-d31318419e00"]},{"id":"ITEM-2","itemData":{"DOI":"10.1016/j.worlddev.2012.04.012","ISSN":"0305750X","abstract":"Through decentralized targeting of input vouchers new agricultural input subsidy programs aim to more effectively reach their objectives and target population. But, lingering fears of elite capture remain. These are borne out in the 2009 input voucher program in Kilimanjaro, Tanzania. Sixty percent of the voucher beneficiaries were households with village officials. This significantly reduced the targeting performance of the program, especially in unequal and remote communities. When targeting the poor, greater coverage and concentration in higher trust settings mitigated these concerns. Scrutiny remains important when relying on decentralized targeting, as is a clearer sense of purpose of input vouchers. © 2012 Elsevier Ltd.","author":[{"dropping-particle":"","family":"Pan","given":"Lei","non-dropping-particle":"","parse-names":false,"suffix":""},{"dropping-particle":"","family":"Christiaensen","given":"Luc","non-dropping-particle":"","parse-names":false,"suffix":""}],"container-title":"World Development","id":"ITEM-2","issue":"8","issued":{"date-parts":[["2012"]]},"page":"1619-1633","publisher":"Elsevier Ltd","title":"Who is Vouching for the Input Voucher? Decentralized Targeting and Elite Capture in Tanzania","type":"article-journal","volume":"40"},"uris":["http://www.mendeley.com/documents/?uuid=630bfbba-a8dc-479b-9712-6322b9b2b015"]},{"id":"ITEM-3","itemData":{"DOI":"10.1016/j.jrurstud.2019.11.004","ISSN":"07430167","author":[{"dropping-particle":"","family":"Henderson","given":"Fiona","non-dropping-particle":"","parse-names":false,"suffix":""},{"dropping-particle":"","family":"Steiner","given":"Artur","non-dropping-particle":"","parse-names":false,"suffix":""},{"dropping-particle":"","family":"Farmer","given":"Jane","non-dropping-particle":"","parse-names":false,"suffix":""},{"dropping-particle":"","family":"Whittam","given":"Geoff","non-dropping-particle":"","parse-names":false,"suffix":""}],"container-title":"Journal of Rural Studies","id":"ITEM-3","issue":"June 2019","issued":{"date-parts":[["2020"]]},"page":"225-233","title":"Challenges of community engagement in a rural area: The impact of flood protection and policy","type":"article-journal","volume":"73"},"uris":["http://www.mendeley.com/documents/?uuid=df3580e7-3da5-459d-90fd-1c847da65435"]}],"mendeley":{"formattedCitation":"(Henderson et al., 2020; Lubungu &amp; Birner, 2018; Pan &amp; Christiaensen, 2012)","plainTextFormattedCitation":"(Henderson et al., 2020; Lubungu &amp; Birner, 2018; Pan &amp; Christiaensen, 2012)","previouslyFormattedCitation":"(Henderson et al., 2020; Lubungu &amp; Birner, 2018; Pan &amp; Christiaensen, 2012)"},"properties":{"noteIndex":0},"schema":"https://github.com/citation-style-language/schema/raw/master/csl-citation.json"}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(Henderson et al., 2020; Lubungu &amp; Birner, 2018; Pan &amp; Christiaensen, 2012)</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COs and FBOs are often inadequately integrated into ISPs because</w:t>
      </w:r>
      <w:r w:rsidR="005044C1">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as community service providers, they</w:t>
      </w:r>
      <w:r w:rsidR="005044C1">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on average</w:t>
      </w:r>
      <w:r w:rsidR="005044C1">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lack appropriate training on the quality, </w:t>
      </w:r>
      <w:r w:rsidRPr="00CB509C">
        <w:rPr>
          <w:rFonts w:ascii="Times New Roman" w:eastAsia="Calibri" w:hAnsi="Times New Roman" w:cs="Times New Roman"/>
          <w:sz w:val="24"/>
          <w:lang w:val="en-GB" w:eastAsia="de-DE"/>
        </w:rPr>
        <w:lastRenderedPageBreak/>
        <w:t>application, and management of modern inputs (e.g.</w:t>
      </w:r>
      <w:r w:rsidR="005044C1">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fertili</w:t>
      </w:r>
      <w:r w:rsidR="009E5062">
        <w:rPr>
          <w:rFonts w:ascii="Times New Roman" w:eastAsia="Calibri" w:hAnsi="Times New Roman" w:cs="Times New Roman"/>
          <w:sz w:val="24"/>
          <w:lang w:val="en-GB" w:eastAsia="de-DE"/>
        </w:rPr>
        <w:t>z</w:t>
      </w:r>
      <w:r w:rsidRPr="00CB509C">
        <w:rPr>
          <w:rFonts w:ascii="Times New Roman" w:eastAsia="Calibri" w:hAnsi="Times New Roman" w:cs="Times New Roman"/>
          <w:sz w:val="24"/>
          <w:lang w:val="en-GB" w:eastAsia="de-DE"/>
        </w:rPr>
        <w:t>ers and varieties) distributed by ISPs.</w:t>
      </w:r>
    </w:p>
    <w:p w14:paraId="28CCEE5E" w14:textId="69F6C95F" w:rsidR="00967553" w:rsidRDefault="00967553" w:rsidP="00967553">
      <w:pPr>
        <w:spacing w:before="120" w:after="120" w:line="480" w:lineRule="auto"/>
        <w:jc w:val="both"/>
        <w:rPr>
          <w:rFonts w:ascii="Times New Roman" w:eastAsia="Calibri" w:hAnsi="Times New Roman" w:cs="Times New Roman"/>
          <w:sz w:val="24"/>
          <w:lang w:eastAsia="de-DE"/>
        </w:rPr>
      </w:pPr>
      <w:bookmarkStart w:id="15" w:name="_Hlk73961984"/>
      <w:r w:rsidRPr="00CB509C">
        <w:rPr>
          <w:rFonts w:ascii="Times New Roman" w:eastAsia="Calibri" w:hAnsi="Times New Roman" w:cs="Times New Roman"/>
          <w:sz w:val="24"/>
          <w:lang w:val="en-GB" w:eastAsia="de-DE"/>
        </w:rPr>
        <w:t>Elite capture and exclusion are also common because CO- and FBO-led programmes are dominated by high-performing and knowledgeable middle-class farmers and rural elites who take advantage and exclude socially-marginali</w:t>
      </w:r>
      <w:r w:rsidR="001A7678">
        <w:rPr>
          <w:rFonts w:ascii="Times New Roman" w:eastAsia="Calibri" w:hAnsi="Times New Roman" w:cs="Times New Roman"/>
          <w:sz w:val="24"/>
          <w:lang w:val="en-GB" w:eastAsia="de-DE"/>
        </w:rPr>
        <w:t>z</w:t>
      </w:r>
      <w:r w:rsidRPr="00CB509C">
        <w:rPr>
          <w:rFonts w:ascii="Times New Roman" w:eastAsia="Calibri" w:hAnsi="Times New Roman" w:cs="Times New Roman"/>
          <w:sz w:val="24"/>
          <w:lang w:val="en-GB" w:eastAsia="de-DE"/>
        </w:rPr>
        <w:t xml:space="preserve">ed actors like small-scale farmers and women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{"citationItems":[{"id":"ITEM-1","itemData":{"DOI":"10.1016/j.spc.2021.11.013","ISSN":"23525509","abstract":"Recently, many developing countries have implemented several bioeconomy plans to transform their rural economies and improve food security at local, national, and regional levels. Yet, there are limited success stories and examples of a competitive bioeconomy in Africa while levels of poor and food in-secured population remain high. Drawing on the novel concepts of biomass value-web, national innovation system and Porter's Diamond model, this paper analyses the emerging biomass opportunities and institutional challenges limiting sustainable bioeconomy growth in Africa. Using the Nigerian maize sector as a case study, qualitative data obtained from 54 stakeholders through 14 interviews, six focus group discussions, and six Net-maps served as a foundation for our network and content analyses. Results revealed numerous opportunities to further upgrade the current maize biomass value-web. However, the challenge of low farm productivity, inadequate infrastructure, low biomass demand and utilization by industrial firms at the mid-stream, deficient innovation and support system and inconsistent government plan pivoted on several institutional challenges such as weak and uncoordinated institutional arrangement and unfavorable institutional environment to limit competitive bioeconomy growth in the sector. The study concludes that important institutions in various innovation subsystems would need to actively perform harmonizing activities within a favorable institutional environment before competitive bioeconomy growth can be attained in Africa.","author":[{"dropping-particle":"","family":"Adetoyinbo","given":"Ayobami","non-dropping-particle":"","parse-names":false,"suffix":""},{"dropping-particle":"","family":"Gupta","given":"Saurabh","non-dropping-particle":"","parse-names":false,"suffix":""},{"dropping-particle":"","family":"Okoruwa","given":"Victor Olusegun","non-dropping-particle":"","parse-names":false,"suffix":""},{"dropping-particle":"","family":"Birner","given":"Regina","non-dropping-particle":"","parse-names":false,"suffix":""}],"container-title":"Sustainable Production and Consumption","id":"ITEM-1","issued":{"date-parts":[["2022","3"]]},"page":"186-203","publisher":"Elsevier B.V.","title":"The role of institutions in sustaining competitive bioeconomy growth in Africa – Insights from the Nigerian maize biomass value-web","type":"article-journal","volume":"30"},"uris":["http://www.mendeley.com/documents/?uuid=b36353fc-ec68-4458-9301-1788c21f0153"]}],"mendeley":{"formattedCitation":"(Adetoyinbo et al., 2022)","plainTextFormattedCitation":"(Adetoyinbo et al., 2022)","previouslyFormattedCitation":"(Adetoyinbo et al., 2022)"},"properties":{"noteIndex":0},"schema":"https://github.com/citation-style-language/schema/raw/master/csl-citation.json"}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(Adetoyinbo et al., 2022)</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xml:space="preserve">. </w:t>
      </w:r>
      <w:bookmarkStart w:id="16" w:name="_Hlk73965769"/>
      <w:r w:rsidRPr="00CB509C">
        <w:rPr>
          <w:rFonts w:ascii="Times New Roman" w:eastAsia="Calibri" w:hAnsi="Times New Roman" w:cs="Times New Roman"/>
          <w:sz w:val="24"/>
          <w:lang w:val="en-GB" w:eastAsia="de-DE"/>
        </w:rPr>
        <w:t>These challenges are more prominent in ISPs because subsidi</w:t>
      </w:r>
      <w:r w:rsidR="009E5062">
        <w:rPr>
          <w:rFonts w:ascii="Times New Roman" w:eastAsia="Calibri" w:hAnsi="Times New Roman" w:cs="Times New Roman"/>
          <w:sz w:val="24"/>
          <w:lang w:val="en-GB" w:eastAsia="de-DE"/>
        </w:rPr>
        <w:t>z</w:t>
      </w:r>
      <w:r w:rsidRPr="00CB509C">
        <w:rPr>
          <w:rFonts w:ascii="Times New Roman" w:eastAsia="Calibri" w:hAnsi="Times New Roman" w:cs="Times New Roman"/>
          <w:sz w:val="24"/>
          <w:lang w:val="en-GB" w:eastAsia="de-DE"/>
        </w:rPr>
        <w:t>ed inputs are private goods (e.g.</w:t>
      </w:r>
      <w:r w:rsidR="005044C1">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fertili</w:t>
      </w:r>
      <w:r w:rsidR="001A6761">
        <w:rPr>
          <w:rFonts w:ascii="Times New Roman" w:eastAsia="Calibri" w:hAnsi="Times New Roman" w:cs="Times New Roman"/>
          <w:sz w:val="24"/>
          <w:lang w:val="en-GB" w:eastAsia="de-DE"/>
        </w:rPr>
        <w:t>z</w:t>
      </w:r>
      <w:r w:rsidRPr="00CB509C">
        <w:rPr>
          <w:rFonts w:ascii="Times New Roman" w:eastAsia="Calibri" w:hAnsi="Times New Roman" w:cs="Times New Roman"/>
          <w:sz w:val="24"/>
          <w:lang w:val="en-GB" w:eastAsia="de-DE"/>
        </w:rPr>
        <w:t>er and seed varieties) characteri</w:t>
      </w:r>
      <w:r w:rsidR="001A7678">
        <w:rPr>
          <w:rFonts w:ascii="Times New Roman" w:eastAsia="Calibri" w:hAnsi="Times New Roman" w:cs="Times New Roman"/>
          <w:sz w:val="24"/>
          <w:lang w:val="en-GB" w:eastAsia="de-DE"/>
        </w:rPr>
        <w:t>z</w:t>
      </w:r>
      <w:r w:rsidRPr="00CB509C">
        <w:rPr>
          <w:rFonts w:ascii="Times New Roman" w:eastAsia="Calibri" w:hAnsi="Times New Roman" w:cs="Times New Roman"/>
          <w:sz w:val="24"/>
          <w:lang w:val="en-GB" w:eastAsia="de-DE"/>
        </w:rPr>
        <w:t>ed by high excludability and rivalry.</w:t>
      </w:r>
      <w:bookmarkEnd w:id="16"/>
      <w:r w:rsidRPr="00CB509C">
        <w:rPr>
          <w:rFonts w:ascii="Times New Roman" w:eastAsia="Calibri" w:hAnsi="Times New Roman" w:cs="Times New Roman"/>
          <w:sz w:val="24"/>
          <w:lang w:val="en-GB" w:eastAsia="de-DE"/>
        </w:rPr>
        <w:t xml:space="preserve"> ISPs are also subject to political (e.g.</w:t>
      </w:r>
      <w:r w:rsidR="005044C1">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low local power structure and awareness), economic (e.g.</w:t>
      </w:r>
      <w:r w:rsidR="005044C1">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low income), sociological (e.g.</w:t>
      </w:r>
      <w:r w:rsidR="005044C1">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community homogeneity), and institutional factors (e.g.</w:t>
      </w:r>
      <w:r w:rsidR="00072D2F">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coordination mechanisms) that drive elite capture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{"citationItems":[{"id":"ITEM-1","itemData":{"DOI":"10.1016/j.spc.2021.11.013","ISSN":"23525509","abstract":"Recently, many developing countries have implemented several bioeconomy plans to transform their rural economies and improve food security at local, national, and regional levels. Yet, there are limited success stories and examples of a competitive bioeconomy in Africa while levels of poor and food in-secured population remain high. Drawing on the novel concepts of biomass value-web, national innovation system and Porter's Diamond model, this paper analyses the emerging biomass opportunities and institutional challenges limiting sustainable bioeconomy growth in Africa. Using the Nigerian maize sector as a case study, qualitative data obtained from 54 stakeholders through 14 interviews, six focus group discussions, and six Net-maps served as a foundation for our network and content analyses. Results revealed numerous opportunities to further upgrade the current maize biomass value-web. However, the challenge of low farm productivity, inadequate infrastructure, low biomass demand and utilization by industrial firms at the mid-stream, deficient innovation and support system and inconsistent government plan pivoted on several institutional challenges such as weak and uncoordinated institutional arrangement and unfavorable institutional environment to limit competitive bioec</w:instrText>
      </w:r>
      <w:r w:rsidRPr="00CB509C">
        <w:rPr>
          <w:rFonts w:ascii="Times New Roman" w:eastAsia="Calibri" w:hAnsi="Times New Roman" w:cs="Times New Roman"/>
          <w:sz w:val="24"/>
          <w:lang w:eastAsia="de-DE"/>
        </w:rPr>
        <w:instrText>onomy growth in the sector. The study concludes that important institutions in various innovation subsystems would need to actively perform harmonizing activities within a favorable institutional environment before competitive bioeconomy growth can be attained in Africa.","author":[{"dropping-particle":"","family":"Adetoyinbo","given":"Ayobami","non-dropping-particle":"","parse-names":false,"suffix":""},{"dropping-particle":"","family":"Gupta","given":"Saurabh","non-dropping-particle":"","parse-names":false,"suffix":""},{"dropping-particle":"","family":"Okoruwa","given":"Victor Olusegun","non-dropping-particle":"","parse-names":false,"suffix":""},{"dropping-particle":"","family":"Birner","given":"Regina","non-dropping-particle":"","parse-names":false,"suffix":""}],"container-title":"Sustainable Production and Consumption","id":"ITEM-1","issued":{"date-parts":[["2022","3"]]},"page":"186-203","publisher":"Elsevier B.V.","title":"The role of institutions in sustaining competitive bioeconomy growth in Africa – Insights from the Nigerian maize biomass value-web","type":"article-journal","volume":"30"},"uris":["http://www.mendeley.com/documents/?uuid=b36353fc-ec68-4458-9301-1788c21f0153"]}],"mendeley":{"formattedCitation":"(Adetoyinbo et al., 2022)","plainTextFormattedCitation":"(Adetoyinbo et al., 2022)","previouslyFormattedCitation":"(Adetoyinbo et al., 2022)"},"properties":{"noteIndex":0},"schema":"https://github.com/citation-style-language/schema/raw/master/csl-citation.json"}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eastAsia="de-DE"/>
        </w:rPr>
        <w:t>(Adetoyinbo et al., 2022)</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eastAsia="de-DE"/>
        </w:rPr>
        <w:t>.</w:t>
      </w:r>
    </w:p>
    <w:p w14:paraId="28CCEE5F" w14:textId="77777777" w:rsidR="00BB01E1" w:rsidRPr="00967553" w:rsidRDefault="00967553" w:rsidP="00967553">
      <w:pPr>
        <w:spacing w:before="120" w:after="120" w:line="480" w:lineRule="auto"/>
        <w:jc w:val="both"/>
        <w:rPr>
          <w:rFonts w:ascii="Times New Roman" w:eastAsia="Calibri" w:hAnsi="Times New Roman" w:cs="Times New Roman"/>
          <w:sz w:val="24"/>
          <w:lang w:eastAsia="de-DE"/>
        </w:rPr>
        <w:sectPr w:rsidR="00BB01E1" w:rsidRPr="00967553">
          <w:pgSz w:w="11906" w:h="16838"/>
          <w:pgMar w:top="1417" w:right="1417" w:bottom="1134" w:left="1417" w:header="708" w:footer="708" w:gutter="0"/>
          <w:cols w:space="708"/>
          <w:docGrid w:linePitch="360"/>
        </w:sectPr>
      </w:pPr>
      <w:r w:rsidRPr="00CB509C">
        <w:rPr>
          <w:rFonts w:ascii="Times New Roman" w:eastAsia="Calibri" w:hAnsi="Times New Roman" w:cs="Times New Roman"/>
          <w:sz w:val="24"/>
          <w:lang w:eastAsia="de-DE"/>
        </w:rPr>
        <w:t xml:space="preserve">Moreover, most COs, FBOs, and NGOs lack the capacity and financial base to deal with the high transaction costs of implementing ISP or acquiring modern inputs that would serve communities. </w:t>
      </w:r>
      <w:r w:rsidRPr="00CB509C">
        <w:rPr>
          <w:rFonts w:ascii="Times New Roman" w:eastAsia="Calibri" w:hAnsi="Times New Roman" w:cs="Times New Roman"/>
          <w:sz w:val="24"/>
          <w:lang w:val="en-GB" w:eastAsia="de-DE"/>
        </w:rPr>
        <w:t>Many SSA countries import agricultural inputs</w:t>
      </w:r>
      <w:r w:rsidR="00072D2F">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thus, COs and FBOs would require an in-depth understanding of trade regulations and close links with international markets to function. Similarly, modern agricultural inputs are expensive</w:t>
      </w:r>
      <w:r w:rsidR="00072D2F">
        <w:rPr>
          <w:rFonts w:ascii="Times New Roman" w:eastAsia="Calibri" w:hAnsi="Times New Roman" w:cs="Times New Roman"/>
          <w:sz w:val="24"/>
          <w:lang w:val="en-GB" w:eastAsia="de-DE"/>
        </w:rPr>
        <w:t>,</w:t>
      </w:r>
      <w:r w:rsidRPr="00CB509C">
        <w:rPr>
          <w:rFonts w:ascii="Times New Roman" w:eastAsia="Calibri" w:hAnsi="Times New Roman" w:cs="Times New Roman"/>
          <w:sz w:val="24"/>
          <w:lang w:val="en-GB" w:eastAsia="de-DE"/>
        </w:rPr>
        <w:t xml:space="preserve"> and COs and FBOs may find it hard to borrow from commercial banks because of their limited collateral and transaction history </w:t>
      </w:r>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{"citationItems":[{"id":"ITEM-1","itemData":{"DOI":"10.1007/s12571-017-0716-9","ISSN":"18764525","abstract":"After decades of neglect, agricultural mechanisation is back on the development agenda in Africa. Taking the mechanisation efforts of Ghana as an example, this paper analyses the governance challenges involved in government and private sector efforts to promote mechanisation in smallholder-based farming systems. To identify these governance challenges, this paper develops a conceptual framework that combines the agricultural innovation system approach with the concepts of New Institutional Economics. Two qualitative empirical methods were used to apply the framework: the Net-Map technique, which is a participatory mapping tool, and expert / key informant interviews. The results show that next to well-known problems such as market failures concerning access to spare-parts supplies and credit, mechanisation is constrained by missing institutions, particularly those that would be required to ensure adequate skill development of tractor-operators and technicians. In addition, exchange rate fluctuations and impeding customs practices prevent stronger private sector involvement in mechanisation. Governance challenges such as political interest and elite capture were found to limit the effectiveness of government imports of tractors and machinery. The findings suggest that instead of focusing on the supply of subsidised machinery, the government could be more effective by investing in institutional development to strengthen the agricultural innovation system for mechanisation and to support emerging private sector initiatives.","author":[{"dropping-particle":"","family":"Daum","given":"Thomas","non-dropping-particle":"","parse-names":false,"suffix":""},{"dropping-particle":"","family":"Birner","given":"Regina","non-dropping-particle":"","parse-names":false,"suffix":""}],"container-title":"Food Security","id":"ITEM-1","issue":"5","issued":{"date-parts":[["2017"]]},"page":"959-979","publisher":"Food Security","title":"The neglected governance challenges of agricultural mechanisation in Africa – insights from Ghana","type":"article-journal","volume":"9"},"uris":["http://www.mendeley.com/documents/?uuid=815139fb-e1c5-430e-80ef-16f07838cf47"]}],"mendeley":{"formattedCitation":"(Daum &amp; Birner, 2017)","plainTextFormattedCitation":"(Daum &amp; Birner, 2017)","previouslyFormattedCitation":"(Daum &amp; Birner, 2017)"},"properties":{"noteIndex":0},"schema":"https://github.com/citation-style-language/schema/raw/master/csl-citation.json"}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(Daum &amp; Birner, 2017)</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 xml:space="preserve">. The collective action problem of free-riding may ensue in COs and FBOs when members are required to collectively invest their time and finances to ensure effective procurement and targeting in ISP </w:t>
      </w:r>
      <w:bookmarkEnd w:id="15"/>
      <w:r w:rsidRPr="00CB509C">
        <w:rPr>
          <w:rFonts w:ascii="Times New Roman" w:eastAsia="Calibri" w:hAnsi="Times New Roman" w:cs="Times New Roman"/>
          <w:sz w:val="24"/>
          <w:lang w:val="en-GB" w:eastAsia="de-DE"/>
        </w:rPr>
        <w:fldChar w:fldCharType="begin" w:fldLock="1"/>
      </w:r>
      <w:r w:rsidRPr="00CB509C">
        <w:rPr>
          <w:rFonts w:ascii="Times New Roman" w:eastAsia="Calibri" w:hAnsi="Times New Roman" w:cs="Times New Roman"/>
          <w:sz w:val="24"/>
          <w:lang w:val="en-GB" w:eastAsia="de-DE"/>
        </w:rPr>
        <w:instrText>ADDIN CSL_CITATION {"citationItems":[{"id":"ITEM-1","itemData":{"abstract":"Many countries have recognized the need to revive agricultural advisory or extension services (the terms are used interchangeably here) as a means of using agriculture as an engine of pro-poor growth; reaching marginalized, poor, and female farmers; and addressing new challenges, such as environmental degradation and climate change. In spite of ample experience with extension reform worldwide, identifying the reform options most likely to make extension more demand-driven remains a major challenge. The concept of demand-driven services implies making extension more responsive to the needs of all farmers, including women and those who are poor and marginalized. It also implies making extension more accountable to farmers and, as a consequence, more effective. This essay discusses various options for providing and financing agricultural advisory services, which involve the public and private sectors as well as a third sector comprising nongovernmental organizations and farmer-based organizations. We review the market and state failures, and the “community” failures (failures of non-governmental and farmer-based organizations) inherent in existing models of providing and financing agricultural extension services and then outline strategies to address those failures and make extension demand-driven. Then we examine India’s Policy Framework for Agricultural Extension, which has demand-driven extension as one of its major objectives, and review available survey information on the state of extension in India. We conclude that although the framework proposes a wide range of strategies to make agricultural extension demand-driven, it is less specific in addressing the challenges inherent in those strategies. Moreover, it remains unclear whether the strategies proposed in the framework will be able to address one of the major problems identified by farm household surveys: access to agricultural extension.","author":[{"dropping-particle":"","family":"Birner","given":"Regina","non-dropping-particle":"","parse-names":false,"suffix":""},{"dropping-particle":"","family":"Anderson","given":"Jock R","non-dropping-particle":"","parse-names":false,"suffix":""}],"id":"ITEM-1","issue":"November","issued":{"date-parts":[["2007"]]},"number-of-pages":"-","title":"How to Make Agricultural Extension Demand-Driven?The Case of India's Agricultural Extension Policy","type":"report"},"uris":["http://www.mendeley.com/documents/?uuid=9b63c522-1109-42e6-9e7e-ac908274b471"]}],"mendeley":{"formattedCitation":"(Birner &amp; Anderson, 2007)","plainTextFormattedCitation":"(Birner &amp; Anderson, 2007)","previouslyFormattedCitation":"(Birner &amp; Anderson, 2007)"},"properties":{"noteIndex":0},"schema":"https://github.com/citation-style-language/schema/raw/master/csl-citation.json"}</w:instrText>
      </w:r>
      <w:r w:rsidRPr="00CB509C">
        <w:rPr>
          <w:rFonts w:ascii="Times New Roman" w:eastAsia="Calibri" w:hAnsi="Times New Roman" w:cs="Times New Roman"/>
          <w:sz w:val="24"/>
          <w:lang w:val="en-GB" w:eastAsia="de-DE"/>
        </w:rPr>
        <w:fldChar w:fldCharType="separate"/>
      </w:r>
      <w:r w:rsidRPr="00CB509C">
        <w:rPr>
          <w:rFonts w:ascii="Times New Roman" w:eastAsia="Calibri" w:hAnsi="Times New Roman" w:cs="Times New Roman"/>
          <w:noProof/>
          <w:sz w:val="24"/>
          <w:lang w:val="en-GB" w:eastAsia="de-DE"/>
        </w:rPr>
        <w:t>(Birner &amp; Anderson, 2007)</w:t>
      </w:r>
      <w:r w:rsidRPr="00CB509C">
        <w:rPr>
          <w:rFonts w:ascii="Times New Roman" w:eastAsia="Calibri" w:hAnsi="Times New Roman" w:cs="Times New Roman"/>
          <w:sz w:val="24"/>
          <w:lang w:val="en-GB" w:eastAsia="de-DE"/>
        </w:rPr>
        <w:fldChar w:fldCharType="end"/>
      </w:r>
      <w:r w:rsidRPr="00CB509C">
        <w:rPr>
          <w:rFonts w:ascii="Times New Roman" w:eastAsia="Calibri" w:hAnsi="Times New Roman" w:cs="Times New Roman"/>
          <w:sz w:val="24"/>
          <w:lang w:val="en-GB" w:eastAsia="de-DE"/>
        </w:rPr>
        <w:t>.</w:t>
      </w:r>
    </w:p>
    <w:p w14:paraId="28CCEE60" w14:textId="77777777" w:rsidR="00227134" w:rsidRDefault="00227134" w:rsidP="00B3765A">
      <w:pPr>
        <w:keepNext/>
        <w:spacing w:after="0" w:line="240" w:lineRule="auto"/>
        <w:ind w:left="-709"/>
        <w:jc w:val="center"/>
      </w:pPr>
      <w:r w:rsidRPr="00227134">
        <w:rPr>
          <w:rFonts w:ascii="Times New Roman" w:eastAsia="Calibri" w:hAnsi="Times New Roman" w:cs="Mangal"/>
          <w:noProof/>
          <w:sz w:val="24"/>
          <w:lang w:val="en-GB"/>
        </w:rPr>
        <w:lastRenderedPageBreak/>
        <w:drawing>
          <wp:inline distT="0" distB="0" distL="0" distR="0" wp14:anchorId="28CCEEC5" wp14:editId="28CCEEC6">
            <wp:extent cx="8954219" cy="4701641"/>
            <wp:effectExtent l="0" t="0" r="0" b="381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043873" cy="4748716"/>
                    </a:xfrm>
                    <a:prstGeom prst="rect">
                      <a:avLst/>
                    </a:prstGeom>
                    <a:noFill/>
                  </pic:spPr>
                </pic:pic>
              </a:graphicData>
            </a:graphic>
          </wp:inline>
        </w:drawing>
      </w:r>
    </w:p>
    <w:p w14:paraId="28CCEE61" w14:textId="77777777" w:rsidR="00227134" w:rsidRPr="00227134" w:rsidRDefault="00227134" w:rsidP="00227134">
      <w:pPr>
        <w:keepNext/>
        <w:spacing w:line="240" w:lineRule="auto"/>
        <w:ind w:left="-709"/>
        <w:jc w:val="center"/>
        <w:rPr>
          <w:rFonts w:ascii="Times New Roman" w:eastAsia="Calibri" w:hAnsi="Times New Roman" w:cs="Mangal"/>
          <w:sz w:val="24"/>
          <w:lang w:val="en-GB"/>
        </w:rPr>
      </w:pPr>
      <w:r w:rsidRPr="00227134">
        <w:rPr>
          <w:rFonts w:ascii="Times New Roman" w:eastAsia="Calibri" w:hAnsi="Times New Roman" w:cs="Mangal"/>
          <w:noProof/>
          <w:sz w:val="24"/>
          <w:lang w:val="en-GB"/>
        </w:rPr>
        <w:drawing>
          <wp:inline distT="0" distB="0" distL="0" distR="0" wp14:anchorId="28CCEEC7" wp14:editId="28CCEEC8">
            <wp:extent cx="5029200" cy="1222601"/>
            <wp:effectExtent l="19050" t="19050" r="19050" b="158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77683" cy="1234387"/>
                    </a:xfrm>
                    <a:prstGeom prst="rect">
                      <a:avLst/>
                    </a:prstGeom>
                    <a:noFill/>
                    <a:ln>
                      <a:solidFill>
                        <a:sysClr val="windowText" lastClr="000000"/>
                      </a:solidFill>
                    </a:ln>
                  </pic:spPr>
                </pic:pic>
              </a:graphicData>
            </a:graphic>
          </wp:inline>
        </w:drawing>
      </w:r>
    </w:p>
    <w:p w14:paraId="28CCEE62" w14:textId="77777777" w:rsidR="00227134" w:rsidRPr="00227134" w:rsidRDefault="00227134" w:rsidP="00227134">
      <w:pPr>
        <w:pStyle w:val="Caption"/>
        <w:spacing w:after="0"/>
        <w:rPr>
          <w:rFonts w:ascii="Times New Roman" w:eastAsia="Calibri" w:hAnsi="Times New Roman" w:cs="Times New Roman"/>
          <w:b/>
          <w:i w:val="0"/>
          <w:color w:val="auto"/>
          <w:sz w:val="28"/>
          <w:lang w:val="en-GB"/>
        </w:rPr>
      </w:pPr>
      <w:r w:rsidRPr="00227134">
        <w:rPr>
          <w:rFonts w:ascii="Times New Roman" w:hAnsi="Times New Roman" w:cs="Times New Roman"/>
          <w:b/>
          <w:i w:val="0"/>
          <w:color w:val="auto"/>
          <w:sz w:val="20"/>
        </w:rPr>
        <w:t>Figure A</w:t>
      </w:r>
      <w:r w:rsidRPr="00227134">
        <w:rPr>
          <w:rFonts w:ascii="Times New Roman" w:hAnsi="Times New Roman" w:cs="Times New Roman"/>
          <w:b/>
          <w:i w:val="0"/>
          <w:color w:val="auto"/>
          <w:sz w:val="20"/>
        </w:rPr>
        <w:fldChar w:fldCharType="begin"/>
      </w:r>
      <w:r w:rsidRPr="00227134">
        <w:rPr>
          <w:rFonts w:ascii="Times New Roman" w:hAnsi="Times New Roman" w:cs="Times New Roman"/>
          <w:b/>
          <w:i w:val="0"/>
          <w:color w:val="auto"/>
          <w:sz w:val="20"/>
        </w:rPr>
        <w:instrText xml:space="preserve"> SEQ Figure_A \* ARABIC </w:instrText>
      </w:r>
      <w:r w:rsidRPr="00227134">
        <w:rPr>
          <w:rFonts w:ascii="Times New Roman" w:hAnsi="Times New Roman" w:cs="Times New Roman"/>
          <w:b/>
          <w:i w:val="0"/>
          <w:color w:val="auto"/>
          <w:sz w:val="20"/>
        </w:rPr>
        <w:fldChar w:fldCharType="separate"/>
      </w:r>
      <w:r w:rsidR="00FF5A38">
        <w:rPr>
          <w:rFonts w:ascii="Times New Roman" w:hAnsi="Times New Roman" w:cs="Times New Roman"/>
          <w:b/>
          <w:i w:val="0"/>
          <w:noProof/>
          <w:color w:val="auto"/>
          <w:sz w:val="20"/>
        </w:rPr>
        <w:t>1</w:t>
      </w:r>
      <w:r w:rsidRPr="00227134">
        <w:rPr>
          <w:rFonts w:ascii="Times New Roman" w:hAnsi="Times New Roman" w:cs="Times New Roman"/>
          <w:b/>
          <w:i w:val="0"/>
          <w:color w:val="auto"/>
          <w:sz w:val="20"/>
        </w:rPr>
        <w:fldChar w:fldCharType="end"/>
      </w:r>
      <w:r w:rsidRPr="00227134">
        <w:rPr>
          <w:rFonts w:ascii="Times New Roman" w:hAnsi="Times New Roman" w:cs="Times New Roman"/>
          <w:b/>
          <w:i w:val="0"/>
          <w:color w:val="auto"/>
          <w:sz w:val="20"/>
        </w:rPr>
        <w:t>: Process Net-Map of the Nigerian second-generation e-wallet ISP showing all the processes</w:t>
      </w:r>
    </w:p>
    <w:p w14:paraId="28CCEE63" w14:textId="77777777" w:rsidR="00227134" w:rsidRPr="00227134" w:rsidRDefault="00227134" w:rsidP="00227134">
      <w:pPr>
        <w:rPr>
          <w:rFonts w:ascii="Times New Roman" w:eastAsia="Calibri" w:hAnsi="Times New Roman" w:cs="Mangal"/>
          <w:sz w:val="20"/>
          <w:lang w:val="en-GB"/>
        </w:rPr>
      </w:pPr>
      <w:r w:rsidRPr="00227134">
        <w:rPr>
          <w:rFonts w:ascii="Times New Roman" w:eastAsia="Calibri" w:hAnsi="Times New Roman" w:cs="Mangal"/>
          <w:sz w:val="20"/>
          <w:lang w:val="en-GB"/>
        </w:rPr>
        <w:t>Source: Authors’ illustration</w:t>
      </w:r>
    </w:p>
    <w:p w14:paraId="28CCEE64" w14:textId="77777777" w:rsidR="00227134" w:rsidRPr="00227134" w:rsidRDefault="00227134" w:rsidP="00227134">
      <w:pPr>
        <w:sectPr w:rsidR="00227134" w:rsidRPr="00227134" w:rsidSect="00B3765A">
          <w:pgSz w:w="16838" w:h="11906" w:orient="landscape"/>
          <w:pgMar w:top="450" w:right="1417" w:bottom="1417" w:left="1134" w:header="708" w:footer="708" w:gutter="0"/>
          <w:cols w:space="708"/>
          <w:docGrid w:linePitch="360"/>
        </w:sectPr>
      </w:pPr>
    </w:p>
    <w:p w14:paraId="28CCEE65" w14:textId="77777777" w:rsidR="00FF5A38" w:rsidRDefault="00BB01E1" w:rsidP="00FF5A38">
      <w:pPr>
        <w:keepNext/>
        <w:spacing w:after="0" w:line="276" w:lineRule="auto"/>
        <w:contextualSpacing/>
        <w:jc w:val="both"/>
      </w:pPr>
      <w:r>
        <w:rPr>
          <w:rFonts w:ascii="Times New Roman" w:eastAsia="Calibri" w:hAnsi="Times New Roman" w:cs="Times New Roman"/>
          <w:noProof/>
          <w:sz w:val="24"/>
        </w:rPr>
        <w:lastRenderedPageBreak/>
        <w:drawing>
          <wp:inline distT="0" distB="0" distL="0" distR="0" wp14:anchorId="28CCEEC9" wp14:editId="28CCEECA">
            <wp:extent cx="5970995" cy="39336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59183" cy="3991743"/>
                    </a:xfrm>
                    <a:prstGeom prst="rect">
                      <a:avLst/>
                    </a:prstGeom>
                    <a:noFill/>
                  </pic:spPr>
                </pic:pic>
              </a:graphicData>
            </a:graphic>
          </wp:inline>
        </w:drawing>
      </w:r>
    </w:p>
    <w:p w14:paraId="28CCEE66" w14:textId="2E98EA7C" w:rsidR="00BB01E1" w:rsidRPr="00FF5A38" w:rsidRDefault="00FF5A38" w:rsidP="00FF5A38">
      <w:pPr>
        <w:pStyle w:val="Caption"/>
        <w:jc w:val="both"/>
        <w:rPr>
          <w:rFonts w:ascii="Times New Roman" w:hAnsi="Times New Roman" w:cs="Times New Roman"/>
          <w:b/>
          <w:i w:val="0"/>
          <w:color w:val="auto"/>
          <w:sz w:val="20"/>
          <w:szCs w:val="20"/>
        </w:rPr>
      </w:pPr>
      <w:r w:rsidRPr="00FF5A38">
        <w:rPr>
          <w:rFonts w:ascii="Times New Roman" w:hAnsi="Times New Roman" w:cs="Times New Roman"/>
          <w:b/>
          <w:i w:val="0"/>
          <w:color w:val="auto"/>
          <w:sz w:val="20"/>
          <w:szCs w:val="20"/>
        </w:rPr>
        <w:t>Figure A</w:t>
      </w:r>
      <w:r w:rsidRPr="00FF5A38">
        <w:rPr>
          <w:rFonts w:ascii="Times New Roman" w:hAnsi="Times New Roman" w:cs="Times New Roman"/>
          <w:b/>
          <w:i w:val="0"/>
          <w:color w:val="auto"/>
          <w:sz w:val="20"/>
          <w:szCs w:val="20"/>
        </w:rPr>
        <w:fldChar w:fldCharType="begin"/>
      </w:r>
      <w:r w:rsidRPr="00FF5A38">
        <w:rPr>
          <w:rFonts w:ascii="Times New Roman" w:hAnsi="Times New Roman" w:cs="Times New Roman"/>
          <w:b/>
          <w:i w:val="0"/>
          <w:color w:val="auto"/>
          <w:sz w:val="20"/>
          <w:szCs w:val="20"/>
        </w:rPr>
        <w:instrText xml:space="preserve"> SEQ Figure_A \* ARABIC </w:instrText>
      </w:r>
      <w:r w:rsidRPr="00FF5A38">
        <w:rPr>
          <w:rFonts w:ascii="Times New Roman" w:hAnsi="Times New Roman" w:cs="Times New Roman"/>
          <w:b/>
          <w:i w:val="0"/>
          <w:color w:val="auto"/>
          <w:sz w:val="20"/>
          <w:szCs w:val="20"/>
        </w:rPr>
        <w:fldChar w:fldCharType="separate"/>
      </w:r>
      <w:r>
        <w:rPr>
          <w:rFonts w:ascii="Times New Roman" w:hAnsi="Times New Roman" w:cs="Times New Roman"/>
          <w:b/>
          <w:i w:val="0"/>
          <w:noProof/>
          <w:color w:val="auto"/>
          <w:sz w:val="20"/>
          <w:szCs w:val="20"/>
        </w:rPr>
        <w:t>2</w:t>
      </w:r>
      <w:r w:rsidRPr="00FF5A38">
        <w:rPr>
          <w:rFonts w:ascii="Times New Roman" w:hAnsi="Times New Roman" w:cs="Times New Roman"/>
          <w:b/>
          <w:i w:val="0"/>
          <w:color w:val="auto"/>
          <w:sz w:val="20"/>
          <w:szCs w:val="20"/>
        </w:rPr>
        <w:fldChar w:fldCharType="end"/>
      </w:r>
      <w:r w:rsidRPr="00FF5A38">
        <w:rPr>
          <w:rFonts w:ascii="Times New Roman" w:hAnsi="Times New Roman" w:cs="Times New Roman"/>
          <w:b/>
          <w:i w:val="0"/>
          <w:color w:val="auto"/>
          <w:sz w:val="20"/>
          <w:szCs w:val="20"/>
        </w:rPr>
        <w:t>: Process Net-</w:t>
      </w:r>
      <w:r w:rsidR="000306CD">
        <w:rPr>
          <w:rFonts w:ascii="Times New Roman" w:hAnsi="Times New Roman" w:cs="Times New Roman"/>
          <w:b/>
          <w:i w:val="0"/>
          <w:color w:val="auto"/>
          <w:sz w:val="20"/>
          <w:szCs w:val="20"/>
        </w:rPr>
        <w:t>M</w:t>
      </w:r>
      <w:r w:rsidRPr="00FF5A38">
        <w:rPr>
          <w:rFonts w:ascii="Times New Roman" w:hAnsi="Times New Roman" w:cs="Times New Roman"/>
          <w:b/>
          <w:i w:val="0"/>
          <w:color w:val="auto"/>
          <w:sz w:val="20"/>
          <w:szCs w:val="20"/>
        </w:rPr>
        <w:t>ap showing FMARD’s interaction and activities during the GESS</w:t>
      </w:r>
    </w:p>
    <w:p w14:paraId="28CCEE67" w14:textId="77777777" w:rsidR="00FF5A38" w:rsidRDefault="00FF5A38" w:rsidP="00BB01E1">
      <w:pPr>
        <w:pStyle w:val="Caption"/>
        <w:jc w:val="both"/>
        <w:rPr>
          <w:rFonts w:ascii="Times New Roman" w:hAnsi="Times New Roman" w:cs="Times New Roman"/>
          <w:b/>
          <w:i w:val="0"/>
          <w:noProof/>
          <w:color w:val="auto"/>
          <w:sz w:val="20"/>
        </w:rPr>
        <w:sectPr w:rsidR="00FF5A38">
          <w:pgSz w:w="11906" w:h="16838"/>
          <w:pgMar w:top="1417" w:right="1417" w:bottom="1134" w:left="1417" w:header="708" w:footer="708" w:gutter="0"/>
          <w:cols w:space="708"/>
          <w:docGrid w:linePitch="360"/>
        </w:sectPr>
      </w:pPr>
    </w:p>
    <w:p w14:paraId="28CCEE68" w14:textId="77777777" w:rsidR="00FF5A38" w:rsidRDefault="005E710F" w:rsidP="00FF5A38">
      <w:pPr>
        <w:keepNext/>
        <w:spacing w:after="0" w:line="276" w:lineRule="auto"/>
        <w:contextualSpacing/>
        <w:jc w:val="both"/>
      </w:pPr>
      <w:r>
        <w:rPr>
          <w:rFonts w:ascii="Times New Roman" w:eastAsia="Calibri" w:hAnsi="Times New Roman" w:cs="Times New Roman"/>
          <w:noProof/>
          <w:sz w:val="24"/>
        </w:rPr>
        <w:lastRenderedPageBreak/>
        <mc:AlternateContent>
          <mc:Choice Requires="wpg">
            <w:drawing>
              <wp:anchor distT="0" distB="0" distL="114300" distR="114300" simplePos="0" relativeHeight="251661312" behindDoc="0" locked="0" layoutInCell="1" allowOverlap="1" wp14:anchorId="28CCEECB" wp14:editId="28CCEECC">
                <wp:simplePos x="0" y="0"/>
                <wp:positionH relativeFrom="column">
                  <wp:posOffset>709931</wp:posOffset>
                </wp:positionH>
                <wp:positionV relativeFrom="paragraph">
                  <wp:posOffset>967105</wp:posOffset>
                </wp:positionV>
                <wp:extent cx="2457450" cy="4286250"/>
                <wp:effectExtent l="0" t="0" r="19050" b="19050"/>
                <wp:wrapNone/>
                <wp:docPr id="6" name="Group 6"/>
                <wp:cNvGraphicFramePr/>
                <a:graphic xmlns:a="http://schemas.openxmlformats.org/drawingml/2006/main">
                  <a:graphicData uri="http://schemas.microsoft.com/office/word/2010/wordprocessingGroup">
                    <wpg:wgp>
                      <wpg:cNvGrpSpPr/>
                      <wpg:grpSpPr>
                        <a:xfrm>
                          <a:off x="0" y="0"/>
                          <a:ext cx="2457450" cy="4286250"/>
                          <a:chOff x="0" y="0"/>
                          <a:chExt cx="2924175" cy="3190875"/>
                        </a:xfrm>
                      </wpg:grpSpPr>
                      <wps:wsp>
                        <wps:cNvPr id="4" name="Rectangle: Rounded Corners 4"/>
                        <wps:cNvSpPr/>
                        <wps:spPr>
                          <a:xfrm>
                            <a:off x="228600" y="0"/>
                            <a:ext cx="2695575" cy="133350"/>
                          </a:xfrm>
                          <a:prstGeom prst="roundRect">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Rounded Corners 5"/>
                        <wps:cNvSpPr/>
                        <wps:spPr>
                          <a:xfrm>
                            <a:off x="0" y="3038475"/>
                            <a:ext cx="1390650" cy="152400"/>
                          </a:xfrm>
                          <a:prstGeom prst="roundRect">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81D9BD4" id="Group 6" o:spid="_x0000_s1026" style="position:absolute;margin-left:55.9pt;margin-top:76.15pt;width:193.5pt;height:337.5pt;z-index:251661312;mso-width-relative:margin;mso-height-relative:margin" coordsize="29241,319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">
                <v:roundrect id="Rectangle: Rounded Corners 4" o:spid="_x0000_s1027" style="position:absolute;left:2286;width:26955;height:13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" fillcolor="black [3213]" strokecolor="black [3213]" strokeweight="1pt">
                  <v:stroke joinstyle="miter"/>
                </v:roundrect>
                <v:roundrect id="Rectangle: Rounded Corners 5" o:spid="_x0000_s1028" style="position:absolute;top:30384;width:13906;height:15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" fillcolor="black [3213]" strokecolor="black [3213]" strokeweight="1pt">
                  <v:stroke joinstyle="miter"/>
                </v:roundrect>
              </v:group>
            </w:pict>
          </mc:Fallback>
        </mc:AlternateContent>
      </w:r>
      <w:r w:rsidR="00BB01E1">
        <w:rPr>
          <w:rFonts w:ascii="Times New Roman" w:eastAsia="Calibri" w:hAnsi="Times New Roman" w:cs="Times New Roman"/>
          <w:noProof/>
          <w:sz w:val="24"/>
        </w:rPr>
        <w:drawing>
          <wp:inline distT="0" distB="0" distL="0" distR="0" wp14:anchorId="28CCEECD" wp14:editId="28CCEECE">
            <wp:extent cx="5886450" cy="8245710"/>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val="0"/>
                        </a:ext>
                      </a:extLst>
                    </a:blip>
                    <a:srcRect l="1130" t="5957" r="20254" b="12417"/>
                    <a:stretch/>
                  </pic:blipFill>
                  <pic:spPr bwMode="auto">
                    <a:xfrm>
                      <a:off x="0" y="0"/>
                      <a:ext cx="5908655" cy="8276815"/>
                    </a:xfrm>
                    <a:prstGeom prst="rect">
                      <a:avLst/>
                    </a:prstGeom>
                    <a:noFill/>
                    <a:ln>
                      <a:noFill/>
                    </a:ln>
                    <a:extLst>
                      <a:ext uri="{53640926-AAD7-44D8-BBD7-CCE9431645EC}">
                        <a14:shadowObscured xmlns:a14="http://schemas.microsoft.com/office/drawing/2010/main"/>
                      </a:ext>
                    </a:extLst>
                  </pic:spPr>
                </pic:pic>
              </a:graphicData>
            </a:graphic>
          </wp:inline>
        </w:drawing>
      </w:r>
    </w:p>
    <w:p w14:paraId="28CCEE69" w14:textId="3B685144" w:rsidR="00B3765A" w:rsidRDefault="00FF5A38" w:rsidP="00FF5A38">
      <w:pPr>
        <w:pStyle w:val="Caption"/>
        <w:jc w:val="both"/>
        <w:rPr>
          <w:rFonts w:ascii="Times New Roman" w:hAnsi="Times New Roman" w:cs="Times New Roman"/>
          <w:b/>
          <w:i w:val="0"/>
          <w:color w:val="auto"/>
          <w:sz w:val="20"/>
        </w:rPr>
        <w:sectPr w:rsidR="00B3765A">
          <w:headerReference w:type="default" r:id="rId13"/>
          <w:pgSz w:w="11906" w:h="16838"/>
          <w:pgMar w:top="1417" w:right="1417" w:bottom="1134" w:left="1417" w:header="708" w:footer="708" w:gutter="0"/>
          <w:cols w:space="708"/>
          <w:docGrid w:linePitch="360"/>
        </w:sectPr>
      </w:pPr>
      <w:r w:rsidRPr="00FF5A38">
        <w:rPr>
          <w:rFonts w:ascii="Times New Roman" w:hAnsi="Times New Roman" w:cs="Times New Roman"/>
          <w:b/>
          <w:i w:val="0"/>
          <w:color w:val="auto"/>
          <w:sz w:val="20"/>
        </w:rPr>
        <w:t>Figure A</w:t>
      </w:r>
      <w:r w:rsidRPr="00FF5A38">
        <w:rPr>
          <w:rFonts w:ascii="Times New Roman" w:hAnsi="Times New Roman" w:cs="Times New Roman"/>
          <w:b/>
          <w:i w:val="0"/>
          <w:color w:val="auto"/>
          <w:sz w:val="20"/>
        </w:rPr>
        <w:fldChar w:fldCharType="begin"/>
      </w:r>
      <w:r w:rsidRPr="00FF5A38">
        <w:rPr>
          <w:rFonts w:ascii="Times New Roman" w:hAnsi="Times New Roman" w:cs="Times New Roman"/>
          <w:b/>
          <w:i w:val="0"/>
          <w:color w:val="auto"/>
          <w:sz w:val="20"/>
        </w:rPr>
        <w:instrText xml:space="preserve"> SEQ Figure_A \* ARABIC </w:instrText>
      </w:r>
      <w:r w:rsidRPr="00FF5A38">
        <w:rPr>
          <w:rFonts w:ascii="Times New Roman" w:hAnsi="Times New Roman" w:cs="Times New Roman"/>
          <w:b/>
          <w:i w:val="0"/>
          <w:color w:val="auto"/>
          <w:sz w:val="20"/>
        </w:rPr>
        <w:fldChar w:fldCharType="separate"/>
      </w:r>
      <w:r w:rsidRPr="00FF5A38">
        <w:rPr>
          <w:rFonts w:ascii="Times New Roman" w:hAnsi="Times New Roman" w:cs="Times New Roman"/>
          <w:b/>
          <w:i w:val="0"/>
          <w:noProof/>
          <w:color w:val="auto"/>
          <w:sz w:val="20"/>
        </w:rPr>
        <w:t>3</w:t>
      </w:r>
      <w:r w:rsidRPr="00FF5A38">
        <w:rPr>
          <w:rFonts w:ascii="Times New Roman" w:hAnsi="Times New Roman" w:cs="Times New Roman"/>
          <w:b/>
          <w:i w:val="0"/>
          <w:color w:val="auto"/>
          <w:sz w:val="20"/>
        </w:rPr>
        <w:fldChar w:fldCharType="end"/>
      </w:r>
      <w:r w:rsidRPr="00FF5A38">
        <w:rPr>
          <w:rFonts w:ascii="Times New Roman" w:hAnsi="Times New Roman" w:cs="Times New Roman"/>
          <w:b/>
          <w:i w:val="0"/>
          <w:color w:val="auto"/>
          <w:sz w:val="20"/>
        </w:rPr>
        <w:t xml:space="preserve">: A copy of </w:t>
      </w:r>
      <w:r w:rsidR="005044C1">
        <w:rPr>
          <w:rFonts w:ascii="Times New Roman" w:hAnsi="Times New Roman" w:cs="Times New Roman"/>
          <w:b/>
          <w:i w:val="0"/>
          <w:color w:val="auto"/>
          <w:sz w:val="20"/>
        </w:rPr>
        <w:t xml:space="preserve">the </w:t>
      </w:r>
      <w:r w:rsidRPr="00FF5A38">
        <w:rPr>
          <w:rFonts w:ascii="Times New Roman" w:hAnsi="Times New Roman" w:cs="Times New Roman"/>
          <w:b/>
          <w:i w:val="0"/>
          <w:color w:val="auto"/>
          <w:sz w:val="20"/>
        </w:rPr>
        <w:t>farmers</w:t>
      </w:r>
      <w:r w:rsidR="000B2705">
        <w:rPr>
          <w:rFonts w:ascii="Times New Roman" w:hAnsi="Times New Roman" w:cs="Times New Roman"/>
          <w:b/>
          <w:i w:val="0"/>
          <w:color w:val="auto"/>
          <w:sz w:val="20"/>
        </w:rPr>
        <w:t>’</w:t>
      </w:r>
      <w:r w:rsidRPr="00FF5A38">
        <w:rPr>
          <w:rFonts w:ascii="Times New Roman" w:hAnsi="Times New Roman" w:cs="Times New Roman"/>
          <w:b/>
          <w:i w:val="0"/>
          <w:color w:val="auto"/>
          <w:sz w:val="20"/>
        </w:rPr>
        <w:t xml:space="preserve"> registration form during the GESS</w:t>
      </w:r>
    </w:p>
    <w:p w14:paraId="28CCEE6A" w14:textId="77777777" w:rsidR="009E4CE7" w:rsidRPr="009E4CE7" w:rsidRDefault="009E4CE7" w:rsidP="009E4CE7">
      <w:pPr>
        <w:pStyle w:val="Caption"/>
        <w:keepNext/>
        <w:spacing w:after="0"/>
        <w:rPr>
          <w:rFonts w:ascii="Times New Roman" w:hAnsi="Times New Roman" w:cs="Times New Roman"/>
          <w:b/>
          <w:i w:val="0"/>
          <w:color w:val="auto"/>
          <w:sz w:val="24"/>
        </w:rPr>
      </w:pPr>
      <w:r w:rsidRPr="009E4CE7">
        <w:rPr>
          <w:rFonts w:ascii="Times New Roman" w:hAnsi="Times New Roman" w:cs="Times New Roman"/>
          <w:b/>
          <w:i w:val="0"/>
          <w:color w:val="auto"/>
          <w:sz w:val="24"/>
        </w:rPr>
        <w:lastRenderedPageBreak/>
        <w:t>Table S</w:t>
      </w:r>
      <w:r w:rsidRPr="009E4CE7">
        <w:rPr>
          <w:rFonts w:ascii="Times New Roman" w:hAnsi="Times New Roman" w:cs="Times New Roman"/>
          <w:b/>
          <w:i w:val="0"/>
          <w:color w:val="auto"/>
          <w:sz w:val="24"/>
        </w:rPr>
        <w:fldChar w:fldCharType="begin"/>
      </w:r>
      <w:r w:rsidRPr="009E4CE7">
        <w:rPr>
          <w:rFonts w:ascii="Times New Roman" w:hAnsi="Times New Roman" w:cs="Times New Roman"/>
          <w:b/>
          <w:i w:val="0"/>
          <w:color w:val="auto"/>
          <w:sz w:val="24"/>
        </w:rPr>
        <w:instrText xml:space="preserve"> SEQ Table_S \* ARABIC </w:instrText>
      </w:r>
      <w:r w:rsidRPr="009E4CE7">
        <w:rPr>
          <w:rFonts w:ascii="Times New Roman" w:hAnsi="Times New Roman" w:cs="Times New Roman"/>
          <w:b/>
          <w:i w:val="0"/>
          <w:color w:val="auto"/>
          <w:sz w:val="24"/>
        </w:rPr>
        <w:fldChar w:fldCharType="separate"/>
      </w:r>
      <w:r w:rsidRPr="009E4CE7">
        <w:rPr>
          <w:rFonts w:ascii="Times New Roman" w:hAnsi="Times New Roman" w:cs="Times New Roman"/>
          <w:b/>
          <w:i w:val="0"/>
          <w:noProof/>
          <w:color w:val="auto"/>
          <w:sz w:val="24"/>
        </w:rPr>
        <w:t>1</w:t>
      </w:r>
      <w:r w:rsidRPr="009E4CE7">
        <w:rPr>
          <w:rFonts w:ascii="Times New Roman" w:hAnsi="Times New Roman" w:cs="Times New Roman"/>
          <w:b/>
          <w:i w:val="0"/>
          <w:color w:val="auto"/>
          <w:sz w:val="24"/>
        </w:rPr>
        <w:fldChar w:fldCharType="end"/>
      </w:r>
      <w:r w:rsidRPr="009E4CE7">
        <w:rPr>
          <w:rFonts w:ascii="Times New Roman" w:hAnsi="Times New Roman" w:cs="Times New Roman"/>
          <w:b/>
          <w:i w:val="0"/>
          <w:color w:val="auto"/>
          <w:sz w:val="24"/>
        </w:rPr>
        <w:t xml:space="preserve">: Comparison between different input </w:t>
      </w:r>
      <w:proofErr w:type="spellStart"/>
      <w:r w:rsidRPr="009E4CE7">
        <w:rPr>
          <w:rFonts w:ascii="Times New Roman" w:hAnsi="Times New Roman" w:cs="Times New Roman"/>
          <w:b/>
          <w:i w:val="0"/>
          <w:color w:val="auto"/>
          <w:sz w:val="24"/>
        </w:rPr>
        <w:t>programmes</w:t>
      </w:r>
      <w:proofErr w:type="spellEnd"/>
      <w:r w:rsidRPr="009E4CE7">
        <w:rPr>
          <w:rFonts w:ascii="Times New Roman" w:hAnsi="Times New Roman" w:cs="Times New Roman"/>
          <w:b/>
          <w:i w:val="0"/>
          <w:color w:val="auto"/>
          <w:sz w:val="24"/>
        </w:rPr>
        <w:t xml:space="preserve"> </w:t>
      </w:r>
      <w:r w:rsidRPr="009E4CE7">
        <w:rPr>
          <w:rFonts w:ascii="Times New Roman" w:hAnsi="Times New Roman" w:cs="Times New Roman"/>
          <w:b/>
          <w:i w:val="0"/>
          <w:noProof/>
          <w:color w:val="auto"/>
          <w:sz w:val="24"/>
        </w:rPr>
        <w:t>in Nigeria</w:t>
      </w:r>
    </w:p>
    <w:tbl>
      <w:tblPr>
        <w:tblStyle w:val="TableGrid"/>
        <w:tblW w:w="11070" w:type="dxa"/>
        <w:tblInd w:w="-815" w:type="dxa"/>
        <w:tblLook w:val="04A0" w:firstRow="1" w:lastRow="0" w:firstColumn="1" w:lastColumn="0" w:noHBand="0" w:noVBand="1"/>
      </w:tblPr>
      <w:tblGrid>
        <w:gridCol w:w="1620"/>
        <w:gridCol w:w="3060"/>
        <w:gridCol w:w="3240"/>
        <w:gridCol w:w="3150"/>
      </w:tblGrid>
      <w:tr w:rsidR="00B3765A" w:rsidRPr="009E4CE7" w14:paraId="28CCEE6F" w14:textId="77777777" w:rsidTr="0042338E">
        <w:tc>
          <w:tcPr>
            <w:tcW w:w="1620" w:type="dxa"/>
          </w:tcPr>
          <w:p w14:paraId="28CCEE6B" w14:textId="77777777" w:rsidR="00B3765A" w:rsidRPr="009E4CE7" w:rsidRDefault="00B3765A" w:rsidP="0042338E">
            <w:pPr>
              <w:pStyle w:val="Caption"/>
              <w:spacing w:after="0"/>
              <w:jc w:val="both"/>
              <w:rPr>
                <w:rFonts w:ascii="Times New Roman" w:hAnsi="Times New Roman" w:cs="Times New Roman"/>
                <w:b/>
                <w:i w:val="0"/>
                <w:color w:val="auto"/>
                <w:sz w:val="20"/>
                <w:szCs w:val="20"/>
              </w:rPr>
            </w:pPr>
            <w:r w:rsidRPr="009E4CE7">
              <w:rPr>
                <w:rFonts w:ascii="Times New Roman" w:hAnsi="Times New Roman" w:cs="Times New Roman"/>
                <w:b/>
                <w:i w:val="0"/>
                <w:color w:val="auto"/>
                <w:sz w:val="20"/>
                <w:szCs w:val="20"/>
              </w:rPr>
              <w:t>Features</w:t>
            </w:r>
          </w:p>
        </w:tc>
        <w:tc>
          <w:tcPr>
            <w:tcW w:w="3060" w:type="dxa"/>
          </w:tcPr>
          <w:p w14:paraId="28CCEE6C" w14:textId="77777777" w:rsidR="00B3765A" w:rsidRPr="009E4CE7" w:rsidRDefault="00B3765A" w:rsidP="0042338E">
            <w:pPr>
              <w:pStyle w:val="Caption"/>
              <w:spacing w:after="0"/>
              <w:jc w:val="both"/>
              <w:rPr>
                <w:rFonts w:ascii="Times New Roman" w:hAnsi="Times New Roman" w:cs="Times New Roman"/>
                <w:b/>
                <w:i w:val="0"/>
                <w:color w:val="auto"/>
                <w:sz w:val="20"/>
                <w:szCs w:val="20"/>
              </w:rPr>
            </w:pPr>
            <w:r w:rsidRPr="009E4CE7">
              <w:rPr>
                <w:rFonts w:ascii="Times New Roman" w:hAnsi="Times New Roman" w:cs="Times New Roman"/>
                <w:b/>
                <w:i w:val="0"/>
                <w:color w:val="auto"/>
                <w:sz w:val="20"/>
                <w:szCs w:val="20"/>
              </w:rPr>
              <w:t>FISP</w:t>
            </w:r>
            <w:r w:rsidR="0094795A">
              <w:rPr>
                <w:rFonts w:ascii="Times New Roman" w:hAnsi="Times New Roman" w:cs="Times New Roman"/>
                <w:b/>
                <w:i w:val="0"/>
                <w:color w:val="auto"/>
                <w:sz w:val="20"/>
                <w:szCs w:val="20"/>
              </w:rPr>
              <w:t xml:space="preserve"> (Before 2011)</w:t>
            </w:r>
          </w:p>
        </w:tc>
        <w:tc>
          <w:tcPr>
            <w:tcW w:w="3240" w:type="dxa"/>
          </w:tcPr>
          <w:p w14:paraId="28CCEE6D" w14:textId="77777777" w:rsidR="00B3765A" w:rsidRPr="009E4CE7" w:rsidRDefault="00B3765A" w:rsidP="0042338E">
            <w:pPr>
              <w:pStyle w:val="Caption"/>
              <w:spacing w:after="0"/>
              <w:jc w:val="both"/>
              <w:rPr>
                <w:rFonts w:ascii="Times New Roman" w:hAnsi="Times New Roman" w:cs="Times New Roman"/>
                <w:b/>
                <w:i w:val="0"/>
                <w:color w:val="auto"/>
                <w:sz w:val="20"/>
                <w:szCs w:val="20"/>
              </w:rPr>
            </w:pPr>
            <w:r w:rsidRPr="009E4CE7">
              <w:rPr>
                <w:rFonts w:ascii="Times New Roman" w:hAnsi="Times New Roman" w:cs="Times New Roman"/>
                <w:b/>
                <w:i w:val="0"/>
                <w:color w:val="auto"/>
                <w:sz w:val="20"/>
                <w:szCs w:val="20"/>
              </w:rPr>
              <w:t>E-wallet SISP</w:t>
            </w:r>
            <w:r w:rsidR="0094795A">
              <w:rPr>
                <w:rFonts w:ascii="Times New Roman" w:hAnsi="Times New Roman" w:cs="Times New Roman"/>
                <w:b/>
                <w:i w:val="0"/>
                <w:color w:val="auto"/>
                <w:sz w:val="20"/>
                <w:szCs w:val="20"/>
              </w:rPr>
              <w:t xml:space="preserve"> (2012-2015)</w:t>
            </w:r>
          </w:p>
        </w:tc>
        <w:tc>
          <w:tcPr>
            <w:tcW w:w="3150" w:type="dxa"/>
          </w:tcPr>
          <w:p w14:paraId="28CCEE6E" w14:textId="77777777" w:rsidR="00B3765A" w:rsidRPr="009E4CE7" w:rsidRDefault="00B3765A" w:rsidP="0042338E">
            <w:pPr>
              <w:pStyle w:val="Caption"/>
              <w:spacing w:after="0"/>
              <w:jc w:val="both"/>
              <w:rPr>
                <w:rFonts w:ascii="Times New Roman" w:hAnsi="Times New Roman" w:cs="Times New Roman"/>
                <w:b/>
                <w:i w:val="0"/>
                <w:color w:val="auto"/>
                <w:sz w:val="20"/>
                <w:szCs w:val="20"/>
              </w:rPr>
            </w:pPr>
            <w:r w:rsidRPr="009E4CE7">
              <w:rPr>
                <w:rFonts w:ascii="Times New Roman" w:hAnsi="Times New Roman" w:cs="Times New Roman"/>
                <w:b/>
                <w:i w:val="0"/>
                <w:color w:val="auto"/>
                <w:sz w:val="20"/>
                <w:szCs w:val="20"/>
              </w:rPr>
              <w:t>PFI</w:t>
            </w:r>
            <w:r w:rsidR="0094795A">
              <w:rPr>
                <w:rFonts w:ascii="Times New Roman" w:hAnsi="Times New Roman" w:cs="Times New Roman"/>
                <w:b/>
                <w:i w:val="0"/>
                <w:color w:val="auto"/>
                <w:sz w:val="20"/>
                <w:szCs w:val="20"/>
              </w:rPr>
              <w:t xml:space="preserve"> (2016 till date)</w:t>
            </w:r>
          </w:p>
        </w:tc>
      </w:tr>
      <w:tr w:rsidR="00B3765A" w:rsidRPr="009E4CE7" w14:paraId="28CCEE74" w14:textId="77777777" w:rsidTr="0042338E">
        <w:trPr>
          <w:trHeight w:val="985"/>
        </w:trPr>
        <w:tc>
          <w:tcPr>
            <w:tcW w:w="1620" w:type="dxa"/>
          </w:tcPr>
          <w:p w14:paraId="28CCEE70" w14:textId="77777777" w:rsidR="00B3765A" w:rsidRPr="009E4CE7" w:rsidRDefault="005E18B7" w:rsidP="0042338E">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Goal</w:t>
            </w:r>
          </w:p>
        </w:tc>
        <w:tc>
          <w:tcPr>
            <w:tcW w:w="3060" w:type="dxa"/>
          </w:tcPr>
          <w:p w14:paraId="28CCEE71" w14:textId="77777777" w:rsidR="00B3765A" w:rsidRPr="009E4CE7" w:rsidRDefault="00B3765A" w:rsidP="0042338E">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Subsidize</w:t>
            </w:r>
            <w:r w:rsidR="00A03F1E" w:rsidRPr="009E4CE7">
              <w:rPr>
                <w:rFonts w:ascii="Times New Roman" w:hAnsi="Times New Roman" w:cs="Times New Roman"/>
                <w:i w:val="0"/>
                <w:color w:val="auto"/>
                <w:sz w:val="20"/>
                <w:szCs w:val="20"/>
              </w:rPr>
              <w:t>s</w:t>
            </w:r>
            <w:r w:rsidRPr="009E4CE7">
              <w:rPr>
                <w:rFonts w:ascii="Times New Roman" w:hAnsi="Times New Roman" w:cs="Times New Roman"/>
                <w:i w:val="0"/>
                <w:color w:val="auto"/>
                <w:sz w:val="20"/>
                <w:szCs w:val="20"/>
              </w:rPr>
              <w:t xml:space="preserve"> agricultural inputs for all farmers</w:t>
            </w:r>
            <w:r w:rsidR="00A03F1E" w:rsidRPr="009E4CE7">
              <w:rPr>
                <w:rFonts w:ascii="Times New Roman" w:hAnsi="Times New Roman" w:cs="Times New Roman"/>
                <w:i w:val="0"/>
                <w:color w:val="auto"/>
                <w:sz w:val="20"/>
                <w:szCs w:val="20"/>
              </w:rPr>
              <w:t>,</w:t>
            </w:r>
            <w:r w:rsidRPr="009E4CE7">
              <w:rPr>
                <w:rFonts w:ascii="Times New Roman" w:hAnsi="Times New Roman" w:cs="Times New Roman"/>
                <w:i w:val="0"/>
                <w:color w:val="auto"/>
                <w:sz w:val="20"/>
                <w:szCs w:val="20"/>
              </w:rPr>
              <w:t xml:space="preserve"> encourag</w:t>
            </w:r>
            <w:r w:rsidR="00A03F1E" w:rsidRPr="009E4CE7">
              <w:rPr>
                <w:rFonts w:ascii="Times New Roman" w:hAnsi="Times New Roman" w:cs="Times New Roman"/>
                <w:i w:val="0"/>
                <w:color w:val="auto"/>
                <w:sz w:val="20"/>
                <w:szCs w:val="20"/>
              </w:rPr>
              <w:t>ing</w:t>
            </w:r>
            <w:r w:rsidRPr="009E4CE7">
              <w:rPr>
                <w:rFonts w:ascii="Times New Roman" w:hAnsi="Times New Roman" w:cs="Times New Roman"/>
                <w:i w:val="0"/>
                <w:color w:val="auto"/>
                <w:sz w:val="20"/>
                <w:szCs w:val="20"/>
              </w:rPr>
              <w:t xml:space="preserve"> modern input use </w:t>
            </w:r>
            <w:r w:rsidR="00A03F1E" w:rsidRPr="009E4CE7">
              <w:rPr>
                <w:rFonts w:ascii="Times New Roman" w:hAnsi="Times New Roman" w:cs="Times New Roman"/>
                <w:i w:val="0"/>
                <w:color w:val="auto"/>
                <w:sz w:val="20"/>
                <w:szCs w:val="20"/>
              </w:rPr>
              <w:t>by</w:t>
            </w:r>
            <w:r w:rsidRPr="009E4CE7">
              <w:rPr>
                <w:rFonts w:ascii="Times New Roman" w:hAnsi="Times New Roman" w:cs="Times New Roman"/>
                <w:i w:val="0"/>
                <w:color w:val="auto"/>
                <w:sz w:val="20"/>
                <w:szCs w:val="20"/>
              </w:rPr>
              <w:t xml:space="preserve"> reduc</w:t>
            </w:r>
            <w:r w:rsidR="00A03F1E" w:rsidRPr="009E4CE7">
              <w:rPr>
                <w:rFonts w:ascii="Times New Roman" w:hAnsi="Times New Roman" w:cs="Times New Roman"/>
                <w:i w:val="0"/>
                <w:color w:val="auto"/>
                <w:sz w:val="20"/>
                <w:szCs w:val="20"/>
              </w:rPr>
              <w:t>ing</w:t>
            </w:r>
            <w:r w:rsidRPr="009E4CE7">
              <w:rPr>
                <w:rFonts w:ascii="Times New Roman" w:hAnsi="Times New Roman" w:cs="Times New Roman"/>
                <w:i w:val="0"/>
                <w:color w:val="auto"/>
                <w:sz w:val="20"/>
                <w:szCs w:val="20"/>
              </w:rPr>
              <w:t xml:space="preserve"> costs </w:t>
            </w:r>
          </w:p>
        </w:tc>
        <w:tc>
          <w:tcPr>
            <w:tcW w:w="3240" w:type="dxa"/>
          </w:tcPr>
          <w:p w14:paraId="28CCEE72" w14:textId="77777777" w:rsidR="00B3765A" w:rsidRPr="009E4CE7" w:rsidRDefault="00FE04BE" w:rsidP="0042338E">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Ensure</w:t>
            </w:r>
            <w:r w:rsidR="00A03F1E" w:rsidRPr="009E4CE7">
              <w:rPr>
                <w:rFonts w:ascii="Times New Roman" w:hAnsi="Times New Roman" w:cs="Times New Roman"/>
                <w:i w:val="0"/>
                <w:color w:val="auto"/>
                <w:sz w:val="20"/>
                <w:szCs w:val="20"/>
              </w:rPr>
              <w:t>s</w:t>
            </w:r>
            <w:r w:rsidRPr="009E4CE7">
              <w:rPr>
                <w:rFonts w:ascii="Times New Roman" w:hAnsi="Times New Roman" w:cs="Times New Roman"/>
                <w:i w:val="0"/>
                <w:color w:val="auto"/>
                <w:sz w:val="20"/>
                <w:szCs w:val="20"/>
              </w:rPr>
              <w:t xml:space="preserve"> transparency and equality in fertilizer distribution</w:t>
            </w:r>
            <w:r w:rsidR="00195EDA" w:rsidRPr="009E4CE7">
              <w:rPr>
                <w:rFonts w:ascii="Times New Roman" w:hAnsi="Times New Roman" w:cs="Times New Roman"/>
                <w:i w:val="0"/>
                <w:color w:val="auto"/>
                <w:sz w:val="20"/>
                <w:szCs w:val="20"/>
              </w:rPr>
              <w:t xml:space="preserve"> and use</w:t>
            </w:r>
            <w:r w:rsidR="005B3B89" w:rsidRPr="009E4CE7">
              <w:rPr>
                <w:rFonts w:ascii="Times New Roman" w:hAnsi="Times New Roman" w:cs="Times New Roman"/>
                <w:i w:val="0"/>
                <w:color w:val="auto"/>
                <w:sz w:val="20"/>
                <w:szCs w:val="20"/>
              </w:rPr>
              <w:t>, by</w:t>
            </w:r>
            <w:r w:rsidR="00A03F1E" w:rsidRPr="009E4CE7">
              <w:rPr>
                <w:rFonts w:ascii="Times New Roman" w:hAnsi="Times New Roman" w:cs="Times New Roman"/>
                <w:i w:val="0"/>
                <w:color w:val="auto"/>
                <w:sz w:val="20"/>
                <w:szCs w:val="20"/>
              </w:rPr>
              <w:t xml:space="preserve"> </w:t>
            </w:r>
            <w:r w:rsidR="005B3B89" w:rsidRPr="009E4CE7">
              <w:rPr>
                <w:rFonts w:ascii="Times New Roman" w:hAnsi="Times New Roman" w:cs="Times New Roman"/>
                <w:i w:val="0"/>
                <w:color w:val="auto"/>
                <w:sz w:val="20"/>
                <w:szCs w:val="20"/>
              </w:rPr>
              <w:t>s</w:t>
            </w:r>
            <w:r w:rsidR="00A03F1E" w:rsidRPr="009E4CE7">
              <w:rPr>
                <w:rFonts w:ascii="Times New Roman" w:hAnsi="Times New Roman" w:cs="Times New Roman"/>
                <w:i w:val="0"/>
                <w:color w:val="auto"/>
                <w:sz w:val="20"/>
                <w:szCs w:val="20"/>
              </w:rPr>
              <w:t>timulat</w:t>
            </w:r>
            <w:r w:rsidR="005B3B89" w:rsidRPr="009E4CE7">
              <w:rPr>
                <w:rFonts w:ascii="Times New Roman" w:hAnsi="Times New Roman" w:cs="Times New Roman"/>
                <w:i w:val="0"/>
                <w:color w:val="auto"/>
                <w:sz w:val="20"/>
                <w:szCs w:val="20"/>
              </w:rPr>
              <w:t>ing</w:t>
            </w:r>
            <w:r w:rsidR="00A03F1E" w:rsidRPr="009E4CE7">
              <w:rPr>
                <w:rFonts w:ascii="Times New Roman" w:hAnsi="Times New Roman" w:cs="Times New Roman"/>
                <w:i w:val="0"/>
                <w:color w:val="auto"/>
                <w:sz w:val="20"/>
                <w:szCs w:val="20"/>
              </w:rPr>
              <w:t xml:space="preserve"> farmers’ demand for modern input</w:t>
            </w:r>
            <w:r w:rsidR="005B3B89" w:rsidRPr="009E4CE7">
              <w:rPr>
                <w:rFonts w:ascii="Times New Roman" w:hAnsi="Times New Roman" w:cs="Times New Roman"/>
                <w:i w:val="0"/>
                <w:color w:val="auto"/>
                <w:sz w:val="20"/>
                <w:szCs w:val="20"/>
              </w:rPr>
              <w:t>s</w:t>
            </w:r>
            <w:r w:rsidR="00A03F1E" w:rsidRPr="009E4CE7">
              <w:rPr>
                <w:rFonts w:ascii="Times New Roman" w:hAnsi="Times New Roman" w:cs="Times New Roman"/>
                <w:i w:val="0"/>
                <w:color w:val="auto"/>
                <w:sz w:val="20"/>
                <w:szCs w:val="20"/>
              </w:rPr>
              <w:t xml:space="preserve"> through subsidies</w:t>
            </w:r>
            <w:r w:rsidR="005B3B89" w:rsidRPr="009E4CE7">
              <w:rPr>
                <w:rFonts w:ascii="Times New Roman" w:hAnsi="Times New Roman" w:cs="Times New Roman"/>
                <w:i w:val="0"/>
                <w:color w:val="auto"/>
                <w:sz w:val="20"/>
                <w:szCs w:val="20"/>
              </w:rPr>
              <w:t xml:space="preserve"> and encouraging further input demand from contemporary input markets</w:t>
            </w:r>
          </w:p>
        </w:tc>
        <w:tc>
          <w:tcPr>
            <w:tcW w:w="3150" w:type="dxa"/>
          </w:tcPr>
          <w:p w14:paraId="28CCEE73" w14:textId="77777777" w:rsidR="00B3765A" w:rsidRPr="009E4CE7" w:rsidRDefault="00FE04BE" w:rsidP="0042338E">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Lower</w:t>
            </w:r>
            <w:r w:rsidR="005B3B89" w:rsidRPr="009E4CE7">
              <w:rPr>
                <w:rFonts w:ascii="Times New Roman" w:hAnsi="Times New Roman" w:cs="Times New Roman"/>
                <w:i w:val="0"/>
                <w:color w:val="auto"/>
                <w:sz w:val="20"/>
                <w:szCs w:val="20"/>
              </w:rPr>
              <w:t>s</w:t>
            </w:r>
            <w:r w:rsidRPr="009E4CE7">
              <w:rPr>
                <w:rFonts w:ascii="Times New Roman" w:hAnsi="Times New Roman" w:cs="Times New Roman"/>
                <w:i w:val="0"/>
                <w:color w:val="auto"/>
                <w:sz w:val="20"/>
                <w:szCs w:val="20"/>
              </w:rPr>
              <w:t xml:space="preserve"> market prices by supporting </w:t>
            </w:r>
            <w:r w:rsidR="005B3B89" w:rsidRPr="009E4CE7">
              <w:rPr>
                <w:rFonts w:ascii="Times New Roman" w:hAnsi="Times New Roman" w:cs="Times New Roman"/>
                <w:i w:val="0"/>
                <w:color w:val="auto"/>
                <w:sz w:val="20"/>
                <w:szCs w:val="20"/>
              </w:rPr>
              <w:t xml:space="preserve">local </w:t>
            </w:r>
            <w:r w:rsidRPr="009E4CE7">
              <w:rPr>
                <w:rFonts w:ascii="Times New Roman" w:hAnsi="Times New Roman" w:cs="Times New Roman"/>
                <w:i w:val="0"/>
                <w:color w:val="auto"/>
                <w:sz w:val="20"/>
                <w:szCs w:val="20"/>
              </w:rPr>
              <w:t>input producers to scale up supply and blend</w:t>
            </w:r>
            <w:r w:rsidR="005B3B89" w:rsidRPr="009E4CE7">
              <w:rPr>
                <w:rFonts w:ascii="Times New Roman" w:hAnsi="Times New Roman" w:cs="Times New Roman"/>
                <w:i w:val="0"/>
                <w:color w:val="auto"/>
                <w:sz w:val="20"/>
                <w:szCs w:val="20"/>
              </w:rPr>
              <w:t xml:space="preserve"> fertilizers,</w:t>
            </w:r>
            <w:r w:rsidRPr="009E4CE7">
              <w:rPr>
                <w:rFonts w:ascii="Times New Roman" w:hAnsi="Times New Roman" w:cs="Times New Roman"/>
                <w:i w:val="0"/>
                <w:color w:val="auto"/>
                <w:sz w:val="20"/>
                <w:szCs w:val="20"/>
              </w:rPr>
              <w:t xml:space="preserve"> cap</w:t>
            </w:r>
            <w:r w:rsidR="005B3B89" w:rsidRPr="009E4CE7">
              <w:rPr>
                <w:rFonts w:ascii="Times New Roman" w:hAnsi="Times New Roman" w:cs="Times New Roman"/>
                <w:i w:val="0"/>
                <w:color w:val="auto"/>
                <w:sz w:val="20"/>
                <w:szCs w:val="20"/>
              </w:rPr>
              <w:t>ping</w:t>
            </w:r>
            <w:r w:rsidRPr="009E4CE7">
              <w:rPr>
                <w:rFonts w:ascii="Times New Roman" w:hAnsi="Times New Roman" w:cs="Times New Roman"/>
                <w:i w:val="0"/>
                <w:color w:val="auto"/>
                <w:sz w:val="20"/>
                <w:szCs w:val="20"/>
              </w:rPr>
              <w:t xml:space="preserve"> </w:t>
            </w:r>
            <w:r w:rsidR="005B3B89" w:rsidRPr="009E4CE7">
              <w:rPr>
                <w:rFonts w:ascii="Times New Roman" w:hAnsi="Times New Roman" w:cs="Times New Roman"/>
                <w:i w:val="0"/>
                <w:color w:val="auto"/>
                <w:sz w:val="20"/>
                <w:szCs w:val="20"/>
              </w:rPr>
              <w:t xml:space="preserve">market </w:t>
            </w:r>
            <w:r w:rsidRPr="009E4CE7">
              <w:rPr>
                <w:rFonts w:ascii="Times New Roman" w:hAnsi="Times New Roman" w:cs="Times New Roman"/>
                <w:i w:val="0"/>
                <w:color w:val="auto"/>
                <w:sz w:val="20"/>
                <w:szCs w:val="20"/>
              </w:rPr>
              <w:t>prices</w:t>
            </w:r>
          </w:p>
        </w:tc>
      </w:tr>
      <w:tr w:rsidR="00B3765A" w:rsidRPr="009E4CE7" w14:paraId="28CCEE79" w14:textId="77777777" w:rsidTr="0042338E">
        <w:tc>
          <w:tcPr>
            <w:tcW w:w="1620" w:type="dxa"/>
          </w:tcPr>
          <w:p w14:paraId="28CCEE75" w14:textId="77777777" w:rsidR="00B3765A" w:rsidRPr="009E4CE7" w:rsidRDefault="00195EDA"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Target recipients</w:t>
            </w:r>
          </w:p>
        </w:tc>
        <w:tc>
          <w:tcPr>
            <w:tcW w:w="3060" w:type="dxa"/>
          </w:tcPr>
          <w:p w14:paraId="28CCEE76" w14:textId="77777777" w:rsidR="00B3765A" w:rsidRPr="009E4CE7" w:rsidRDefault="00195EDA"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 xml:space="preserve">Broad, often </w:t>
            </w:r>
            <w:r w:rsidR="00A03F1E" w:rsidRPr="009E4CE7">
              <w:rPr>
                <w:rFonts w:ascii="Times New Roman" w:hAnsi="Times New Roman" w:cs="Times New Roman"/>
                <w:i w:val="0"/>
                <w:color w:val="auto"/>
                <w:sz w:val="20"/>
                <w:szCs w:val="20"/>
              </w:rPr>
              <w:t>targeting</w:t>
            </w:r>
            <w:r w:rsidRPr="009E4CE7">
              <w:rPr>
                <w:rFonts w:ascii="Times New Roman" w:hAnsi="Times New Roman" w:cs="Times New Roman"/>
                <w:i w:val="0"/>
                <w:color w:val="auto"/>
                <w:sz w:val="20"/>
                <w:szCs w:val="20"/>
              </w:rPr>
              <w:t xml:space="preserve"> middlemen and larger farmers</w:t>
            </w:r>
          </w:p>
        </w:tc>
        <w:tc>
          <w:tcPr>
            <w:tcW w:w="3240" w:type="dxa"/>
          </w:tcPr>
          <w:p w14:paraId="28CCEE77" w14:textId="77777777" w:rsidR="00B3765A" w:rsidRPr="009E4CE7" w:rsidRDefault="00195EDA"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Registered small-scale farmers, with 5 ha or less and growing certain crops (e.g., maize or rice)</w:t>
            </w:r>
          </w:p>
        </w:tc>
        <w:tc>
          <w:tcPr>
            <w:tcW w:w="3150" w:type="dxa"/>
          </w:tcPr>
          <w:p w14:paraId="28CCEE78" w14:textId="77777777" w:rsidR="00B3765A" w:rsidRPr="009E4CE7" w:rsidRDefault="003E6E4A"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Local companies registered under the PFI framework</w:t>
            </w:r>
          </w:p>
        </w:tc>
      </w:tr>
      <w:tr w:rsidR="00B3765A" w:rsidRPr="009E4CE7" w14:paraId="28CCEE7E" w14:textId="77777777" w:rsidTr="0042338E">
        <w:trPr>
          <w:trHeight w:val="332"/>
        </w:trPr>
        <w:tc>
          <w:tcPr>
            <w:tcW w:w="1620" w:type="dxa"/>
          </w:tcPr>
          <w:p w14:paraId="28CCEE7A" w14:textId="77777777" w:rsidR="00B3765A" w:rsidRPr="009E4CE7" w:rsidRDefault="00195EDA"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Focus</w:t>
            </w:r>
          </w:p>
        </w:tc>
        <w:tc>
          <w:tcPr>
            <w:tcW w:w="3060" w:type="dxa"/>
          </w:tcPr>
          <w:p w14:paraId="28CCEE7B" w14:textId="77777777" w:rsidR="00B3765A" w:rsidRPr="009E4CE7" w:rsidRDefault="00195EDA"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Broad</w:t>
            </w:r>
            <w:r w:rsidR="00A03F1E" w:rsidRPr="009E4CE7">
              <w:rPr>
                <w:rFonts w:ascii="Times New Roman" w:hAnsi="Times New Roman" w:cs="Times New Roman"/>
                <w:i w:val="0"/>
                <w:color w:val="auto"/>
                <w:sz w:val="20"/>
                <w:szCs w:val="20"/>
              </w:rPr>
              <w:t xml:space="preserve"> and often undefined</w:t>
            </w:r>
          </w:p>
        </w:tc>
        <w:tc>
          <w:tcPr>
            <w:tcW w:w="3240" w:type="dxa"/>
          </w:tcPr>
          <w:p w14:paraId="28CCEE7C" w14:textId="77777777" w:rsidR="00B3765A" w:rsidRPr="009E4CE7" w:rsidRDefault="00195EDA"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Demand-</w:t>
            </w:r>
            <w:r w:rsidR="005C3CED" w:rsidRPr="009E4CE7">
              <w:rPr>
                <w:rFonts w:ascii="Times New Roman" w:hAnsi="Times New Roman" w:cs="Times New Roman"/>
                <w:i w:val="0"/>
                <w:color w:val="auto"/>
                <w:sz w:val="20"/>
                <w:szCs w:val="20"/>
              </w:rPr>
              <w:t>driven</w:t>
            </w:r>
            <w:r w:rsidR="005B3B89" w:rsidRPr="009E4CE7">
              <w:rPr>
                <w:rFonts w:ascii="Times New Roman" w:hAnsi="Times New Roman" w:cs="Times New Roman"/>
                <w:i w:val="0"/>
                <w:color w:val="auto"/>
                <w:sz w:val="20"/>
                <w:szCs w:val="20"/>
              </w:rPr>
              <w:t xml:space="preserve">, with </w:t>
            </w:r>
            <w:r w:rsidR="001C41E0">
              <w:rPr>
                <w:rFonts w:ascii="Times New Roman" w:hAnsi="Times New Roman" w:cs="Times New Roman"/>
                <w:i w:val="0"/>
                <w:color w:val="auto"/>
                <w:sz w:val="20"/>
                <w:szCs w:val="20"/>
              </w:rPr>
              <w:t xml:space="preserve">a </w:t>
            </w:r>
            <w:r w:rsidR="005B3B89" w:rsidRPr="009E4CE7">
              <w:rPr>
                <w:rFonts w:ascii="Times New Roman" w:hAnsi="Times New Roman" w:cs="Times New Roman"/>
                <w:i w:val="0"/>
                <w:color w:val="auto"/>
                <w:sz w:val="20"/>
                <w:szCs w:val="20"/>
              </w:rPr>
              <w:t>focus on small-scale farmers</w:t>
            </w:r>
          </w:p>
        </w:tc>
        <w:tc>
          <w:tcPr>
            <w:tcW w:w="3150" w:type="dxa"/>
          </w:tcPr>
          <w:p w14:paraId="28CCEE7D" w14:textId="77777777" w:rsidR="00B3765A" w:rsidRPr="009E4CE7" w:rsidRDefault="00195EDA"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Supply</w:t>
            </w:r>
            <w:r w:rsidR="005C3CED" w:rsidRPr="009E4CE7">
              <w:rPr>
                <w:rFonts w:ascii="Times New Roman" w:hAnsi="Times New Roman" w:cs="Times New Roman"/>
                <w:i w:val="0"/>
                <w:color w:val="auto"/>
                <w:sz w:val="20"/>
                <w:szCs w:val="20"/>
              </w:rPr>
              <w:t xml:space="preserve"> and private sector-driven, with </w:t>
            </w:r>
            <w:r w:rsidR="001C41E0">
              <w:rPr>
                <w:rFonts w:ascii="Times New Roman" w:hAnsi="Times New Roman" w:cs="Times New Roman"/>
                <w:i w:val="0"/>
                <w:color w:val="auto"/>
                <w:sz w:val="20"/>
                <w:szCs w:val="20"/>
              </w:rPr>
              <w:t xml:space="preserve">a </w:t>
            </w:r>
            <w:r w:rsidR="005C3CED" w:rsidRPr="009E4CE7">
              <w:rPr>
                <w:rFonts w:ascii="Times New Roman" w:hAnsi="Times New Roman" w:cs="Times New Roman"/>
                <w:i w:val="0"/>
                <w:color w:val="auto"/>
                <w:sz w:val="20"/>
                <w:szCs w:val="20"/>
              </w:rPr>
              <w:t>business-oriented model</w:t>
            </w:r>
          </w:p>
        </w:tc>
      </w:tr>
      <w:tr w:rsidR="00B3765A" w:rsidRPr="009E4CE7" w14:paraId="28CCEE83" w14:textId="77777777" w:rsidTr="0042338E">
        <w:trPr>
          <w:trHeight w:val="60"/>
        </w:trPr>
        <w:tc>
          <w:tcPr>
            <w:tcW w:w="1620" w:type="dxa"/>
          </w:tcPr>
          <w:p w14:paraId="28CCEE7F" w14:textId="77777777" w:rsidR="00B3765A" w:rsidRPr="009E4CE7" w:rsidRDefault="002E3252" w:rsidP="0042338E">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Input</w:t>
            </w:r>
            <w:r w:rsidR="00367F69" w:rsidRPr="009E4CE7">
              <w:rPr>
                <w:rFonts w:ascii="Times New Roman" w:hAnsi="Times New Roman" w:cs="Times New Roman"/>
                <w:i w:val="0"/>
                <w:color w:val="auto"/>
                <w:sz w:val="20"/>
                <w:szCs w:val="20"/>
              </w:rPr>
              <w:t xml:space="preserve"> type</w:t>
            </w:r>
          </w:p>
        </w:tc>
        <w:tc>
          <w:tcPr>
            <w:tcW w:w="3060" w:type="dxa"/>
          </w:tcPr>
          <w:p w14:paraId="28CCEE80" w14:textId="77777777" w:rsidR="00B3765A" w:rsidRPr="009E4CE7" w:rsidRDefault="005B3B89" w:rsidP="0042338E">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Mainly f</w:t>
            </w:r>
            <w:r w:rsidR="002E3252" w:rsidRPr="009E4CE7">
              <w:rPr>
                <w:rFonts w:ascii="Times New Roman" w:hAnsi="Times New Roman" w:cs="Times New Roman"/>
                <w:i w:val="0"/>
                <w:color w:val="auto"/>
                <w:sz w:val="20"/>
                <w:szCs w:val="20"/>
              </w:rPr>
              <w:t>ertilizer</w:t>
            </w:r>
            <w:r w:rsidRPr="009E4CE7">
              <w:rPr>
                <w:rFonts w:ascii="Times New Roman" w:hAnsi="Times New Roman" w:cs="Times New Roman"/>
                <w:i w:val="0"/>
                <w:color w:val="auto"/>
                <w:sz w:val="20"/>
                <w:szCs w:val="20"/>
              </w:rPr>
              <w:t>s</w:t>
            </w:r>
          </w:p>
        </w:tc>
        <w:tc>
          <w:tcPr>
            <w:tcW w:w="3240" w:type="dxa"/>
          </w:tcPr>
          <w:p w14:paraId="28CCEE81" w14:textId="77777777" w:rsidR="00B3765A" w:rsidRPr="009E4CE7" w:rsidRDefault="00AD43AE" w:rsidP="0042338E">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Fertilizers and hybrid seeds</w:t>
            </w:r>
          </w:p>
        </w:tc>
        <w:tc>
          <w:tcPr>
            <w:tcW w:w="3150" w:type="dxa"/>
          </w:tcPr>
          <w:p w14:paraId="28CCEE82" w14:textId="77777777" w:rsidR="00B3765A" w:rsidRPr="009E4CE7" w:rsidRDefault="00AD43AE" w:rsidP="0042338E">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Fertilizer</w:t>
            </w:r>
          </w:p>
        </w:tc>
      </w:tr>
      <w:tr w:rsidR="00B3765A" w:rsidRPr="009E4CE7" w14:paraId="28CCEE88" w14:textId="77777777" w:rsidTr="0042338E">
        <w:trPr>
          <w:trHeight w:val="62"/>
        </w:trPr>
        <w:tc>
          <w:tcPr>
            <w:tcW w:w="1620" w:type="dxa"/>
          </w:tcPr>
          <w:p w14:paraId="28CCEE84" w14:textId="77777777" w:rsidR="00B3765A" w:rsidRPr="009E4CE7" w:rsidRDefault="003D48F2" w:rsidP="0042338E">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Digitalization</w:t>
            </w:r>
          </w:p>
        </w:tc>
        <w:tc>
          <w:tcPr>
            <w:tcW w:w="3060" w:type="dxa"/>
          </w:tcPr>
          <w:p w14:paraId="28CCEE85" w14:textId="77777777" w:rsidR="00B3765A" w:rsidRPr="009E4CE7" w:rsidRDefault="003D48F2" w:rsidP="0042338E">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None</w:t>
            </w:r>
          </w:p>
        </w:tc>
        <w:tc>
          <w:tcPr>
            <w:tcW w:w="3240" w:type="dxa"/>
          </w:tcPr>
          <w:p w14:paraId="28CCEE86" w14:textId="77777777" w:rsidR="00B3765A" w:rsidRPr="009E4CE7" w:rsidRDefault="003D48F2" w:rsidP="0042338E">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E-</w:t>
            </w:r>
            <w:r w:rsidR="00367F69" w:rsidRPr="009E4CE7">
              <w:rPr>
                <w:rFonts w:ascii="Times New Roman" w:hAnsi="Times New Roman" w:cs="Times New Roman"/>
                <w:i w:val="0"/>
                <w:color w:val="auto"/>
                <w:sz w:val="20"/>
                <w:szCs w:val="20"/>
              </w:rPr>
              <w:t>voucher</w:t>
            </w:r>
            <w:r w:rsidRPr="009E4CE7">
              <w:rPr>
                <w:rFonts w:ascii="Times New Roman" w:hAnsi="Times New Roman" w:cs="Times New Roman"/>
                <w:i w:val="0"/>
                <w:color w:val="auto"/>
                <w:sz w:val="20"/>
                <w:szCs w:val="20"/>
              </w:rPr>
              <w:t xml:space="preserve"> sent through mobile phone</w:t>
            </w:r>
          </w:p>
        </w:tc>
        <w:tc>
          <w:tcPr>
            <w:tcW w:w="3150" w:type="dxa"/>
          </w:tcPr>
          <w:p w14:paraId="28CCEE87" w14:textId="77777777" w:rsidR="00B3765A" w:rsidRPr="009E4CE7" w:rsidRDefault="0094795A" w:rsidP="0042338E">
            <w:pPr>
              <w:pStyle w:val="Caption"/>
              <w:spacing w:after="0"/>
              <w:jc w:val="both"/>
              <w:rPr>
                <w:rFonts w:ascii="Times New Roman" w:hAnsi="Times New Roman" w:cs="Times New Roman"/>
                <w:i w:val="0"/>
                <w:color w:val="auto"/>
                <w:sz w:val="20"/>
                <w:szCs w:val="20"/>
              </w:rPr>
            </w:pPr>
            <w:r>
              <w:rPr>
                <w:rFonts w:ascii="Times New Roman" w:hAnsi="Times New Roman" w:cs="Times New Roman"/>
                <w:i w:val="0"/>
                <w:color w:val="auto"/>
                <w:sz w:val="20"/>
                <w:szCs w:val="20"/>
              </w:rPr>
              <w:t xml:space="preserve">Digital finance and payments to </w:t>
            </w:r>
            <w:r w:rsidR="0042338E">
              <w:rPr>
                <w:rFonts w:ascii="Times New Roman" w:hAnsi="Times New Roman" w:cs="Times New Roman"/>
                <w:i w:val="0"/>
                <w:color w:val="auto"/>
                <w:sz w:val="20"/>
                <w:szCs w:val="20"/>
              </w:rPr>
              <w:t xml:space="preserve">input </w:t>
            </w:r>
            <w:r>
              <w:rPr>
                <w:rFonts w:ascii="Times New Roman" w:hAnsi="Times New Roman" w:cs="Times New Roman"/>
                <w:i w:val="0"/>
                <w:color w:val="auto"/>
                <w:sz w:val="20"/>
                <w:szCs w:val="20"/>
              </w:rPr>
              <w:t>companies</w:t>
            </w:r>
          </w:p>
        </w:tc>
      </w:tr>
      <w:tr w:rsidR="00A17BB1" w:rsidRPr="009E4CE7" w14:paraId="28CCEE8D" w14:textId="77777777" w:rsidTr="0042338E">
        <w:tc>
          <w:tcPr>
            <w:tcW w:w="1620" w:type="dxa"/>
          </w:tcPr>
          <w:p w14:paraId="28CCEE89" w14:textId="77777777" w:rsidR="00A17BB1" w:rsidRPr="009E4CE7" w:rsidRDefault="00A17BB1"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Input procurement and distribution method</w:t>
            </w:r>
          </w:p>
        </w:tc>
        <w:tc>
          <w:tcPr>
            <w:tcW w:w="3060" w:type="dxa"/>
          </w:tcPr>
          <w:p w14:paraId="28CCEE8A" w14:textId="77777777" w:rsidR="00A17BB1" w:rsidRPr="009E4CE7" w:rsidRDefault="00A17BB1"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Done by federal and state government agencies</w:t>
            </w:r>
          </w:p>
        </w:tc>
        <w:tc>
          <w:tcPr>
            <w:tcW w:w="3240" w:type="dxa"/>
          </w:tcPr>
          <w:p w14:paraId="28CCEE8B" w14:textId="2C027CB7" w:rsidR="00A17BB1" w:rsidRPr="009E4CE7" w:rsidRDefault="00A17BB1"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 xml:space="preserve">Initiation by the government, but procurement and distribution </w:t>
            </w:r>
            <w:r w:rsidR="001C41E0">
              <w:rPr>
                <w:rFonts w:ascii="Times New Roman" w:hAnsi="Times New Roman" w:cs="Times New Roman"/>
                <w:i w:val="0"/>
                <w:color w:val="auto"/>
                <w:sz w:val="20"/>
                <w:szCs w:val="20"/>
              </w:rPr>
              <w:t xml:space="preserve">are </w:t>
            </w:r>
            <w:r w:rsidRPr="009E4CE7">
              <w:rPr>
                <w:rFonts w:ascii="Times New Roman" w:hAnsi="Times New Roman" w:cs="Times New Roman"/>
                <w:i w:val="0"/>
                <w:color w:val="auto"/>
                <w:sz w:val="20"/>
                <w:szCs w:val="20"/>
              </w:rPr>
              <w:t>done by private actors</w:t>
            </w:r>
            <w:r w:rsidR="003E6E4A" w:rsidRPr="009E4CE7">
              <w:rPr>
                <w:rFonts w:ascii="Times New Roman" w:hAnsi="Times New Roman" w:cs="Times New Roman"/>
                <w:i w:val="0"/>
                <w:color w:val="auto"/>
                <w:sz w:val="20"/>
                <w:szCs w:val="20"/>
              </w:rPr>
              <w:t xml:space="preserve"> through mobile notification and </w:t>
            </w:r>
            <w:r w:rsidR="001C41E0">
              <w:rPr>
                <w:rFonts w:ascii="Times New Roman" w:hAnsi="Times New Roman" w:cs="Times New Roman"/>
                <w:i w:val="0"/>
                <w:color w:val="auto"/>
                <w:sz w:val="20"/>
                <w:szCs w:val="20"/>
              </w:rPr>
              <w:t xml:space="preserve">the </w:t>
            </w:r>
            <w:r w:rsidR="003E6E4A" w:rsidRPr="009E4CE7">
              <w:rPr>
                <w:rFonts w:ascii="Times New Roman" w:hAnsi="Times New Roman" w:cs="Times New Roman"/>
                <w:i w:val="0"/>
                <w:color w:val="auto"/>
                <w:sz w:val="20"/>
                <w:szCs w:val="20"/>
              </w:rPr>
              <w:t>use of electronic systems for verification and monitoring</w:t>
            </w:r>
          </w:p>
        </w:tc>
        <w:tc>
          <w:tcPr>
            <w:tcW w:w="3150" w:type="dxa"/>
          </w:tcPr>
          <w:p w14:paraId="28CCEE8C" w14:textId="77777777" w:rsidR="00A17BB1" w:rsidRPr="009E4CE7" w:rsidRDefault="00A17BB1"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 xml:space="preserve">Initiation by the government, but </w:t>
            </w:r>
            <w:r w:rsidR="003E6E4A" w:rsidRPr="009E4CE7">
              <w:rPr>
                <w:rFonts w:ascii="Times New Roman" w:hAnsi="Times New Roman" w:cs="Times New Roman"/>
                <w:i w:val="0"/>
                <w:color w:val="auto"/>
                <w:sz w:val="20"/>
                <w:szCs w:val="20"/>
              </w:rPr>
              <w:t>production</w:t>
            </w:r>
            <w:r w:rsidRPr="009E4CE7">
              <w:rPr>
                <w:rFonts w:ascii="Times New Roman" w:hAnsi="Times New Roman" w:cs="Times New Roman"/>
                <w:i w:val="0"/>
                <w:color w:val="auto"/>
                <w:sz w:val="20"/>
                <w:szCs w:val="20"/>
              </w:rPr>
              <w:t xml:space="preserve"> and distribution </w:t>
            </w:r>
            <w:r w:rsidR="001C41E0">
              <w:rPr>
                <w:rFonts w:ascii="Times New Roman" w:hAnsi="Times New Roman" w:cs="Times New Roman"/>
                <w:i w:val="0"/>
                <w:color w:val="auto"/>
                <w:sz w:val="20"/>
                <w:szCs w:val="20"/>
              </w:rPr>
              <w:t xml:space="preserve">are </w:t>
            </w:r>
            <w:r w:rsidRPr="009E4CE7">
              <w:rPr>
                <w:rFonts w:ascii="Times New Roman" w:hAnsi="Times New Roman" w:cs="Times New Roman"/>
                <w:i w:val="0"/>
                <w:color w:val="auto"/>
                <w:sz w:val="20"/>
                <w:szCs w:val="20"/>
              </w:rPr>
              <w:t>done by private actors</w:t>
            </w:r>
            <w:r w:rsidR="003E6E4A" w:rsidRPr="009E4CE7">
              <w:rPr>
                <w:rFonts w:ascii="Times New Roman" w:hAnsi="Times New Roman" w:cs="Times New Roman"/>
                <w:i w:val="0"/>
                <w:color w:val="auto"/>
                <w:sz w:val="20"/>
                <w:szCs w:val="20"/>
              </w:rPr>
              <w:t xml:space="preserve"> in local factories, with market forces taking over demand</w:t>
            </w:r>
            <w:r w:rsidR="001C41E0">
              <w:rPr>
                <w:rFonts w:ascii="Times New Roman" w:hAnsi="Times New Roman" w:cs="Times New Roman"/>
                <w:i w:val="0"/>
                <w:color w:val="auto"/>
                <w:sz w:val="20"/>
                <w:szCs w:val="20"/>
              </w:rPr>
              <w:t>.</w:t>
            </w:r>
          </w:p>
        </w:tc>
      </w:tr>
      <w:tr w:rsidR="00B3765A" w:rsidRPr="009E4CE7" w14:paraId="28CCEE92" w14:textId="77777777" w:rsidTr="0042338E">
        <w:tc>
          <w:tcPr>
            <w:tcW w:w="1620" w:type="dxa"/>
          </w:tcPr>
          <w:p w14:paraId="28CCEE8E" w14:textId="77777777" w:rsidR="00B3765A" w:rsidRPr="009E4CE7" w:rsidRDefault="00367F69"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Subsidy ty</w:t>
            </w:r>
            <w:r w:rsidR="00AD43AE" w:rsidRPr="009E4CE7">
              <w:rPr>
                <w:rFonts w:ascii="Times New Roman" w:hAnsi="Times New Roman" w:cs="Times New Roman"/>
                <w:i w:val="0"/>
                <w:color w:val="auto"/>
                <w:sz w:val="20"/>
                <w:szCs w:val="20"/>
              </w:rPr>
              <w:t>p</w:t>
            </w:r>
            <w:r w:rsidRPr="009E4CE7">
              <w:rPr>
                <w:rFonts w:ascii="Times New Roman" w:hAnsi="Times New Roman" w:cs="Times New Roman"/>
                <w:i w:val="0"/>
                <w:color w:val="auto"/>
                <w:sz w:val="20"/>
                <w:szCs w:val="20"/>
              </w:rPr>
              <w:t>e</w:t>
            </w:r>
          </w:p>
        </w:tc>
        <w:tc>
          <w:tcPr>
            <w:tcW w:w="3060" w:type="dxa"/>
          </w:tcPr>
          <w:p w14:paraId="28CCEE8F" w14:textId="77777777" w:rsidR="00B3765A" w:rsidRPr="009E4CE7" w:rsidRDefault="00367F69"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Broad subs</w:t>
            </w:r>
            <w:r w:rsidR="00AD43AE" w:rsidRPr="009E4CE7">
              <w:rPr>
                <w:rFonts w:ascii="Times New Roman" w:hAnsi="Times New Roman" w:cs="Times New Roman"/>
                <w:i w:val="0"/>
                <w:color w:val="auto"/>
                <w:sz w:val="20"/>
                <w:szCs w:val="20"/>
              </w:rPr>
              <w:t>idies, with limited transparency</w:t>
            </w:r>
          </w:p>
        </w:tc>
        <w:tc>
          <w:tcPr>
            <w:tcW w:w="3240" w:type="dxa"/>
          </w:tcPr>
          <w:p w14:paraId="28CCEE90" w14:textId="77777777" w:rsidR="00B3765A" w:rsidRPr="009E4CE7" w:rsidRDefault="00AD43AE"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 xml:space="preserve">Subsidies delivered directly to farmers through </w:t>
            </w:r>
            <w:r w:rsidR="001C41E0">
              <w:rPr>
                <w:rFonts w:ascii="Times New Roman" w:hAnsi="Times New Roman" w:cs="Times New Roman"/>
                <w:i w:val="0"/>
                <w:color w:val="auto"/>
                <w:sz w:val="20"/>
                <w:szCs w:val="20"/>
              </w:rPr>
              <w:t xml:space="preserve">an </w:t>
            </w:r>
            <w:r w:rsidRPr="009E4CE7">
              <w:rPr>
                <w:rFonts w:ascii="Times New Roman" w:hAnsi="Times New Roman" w:cs="Times New Roman"/>
                <w:i w:val="0"/>
                <w:color w:val="auto"/>
                <w:sz w:val="20"/>
                <w:szCs w:val="20"/>
              </w:rPr>
              <w:t>e-wallet</w:t>
            </w:r>
          </w:p>
        </w:tc>
        <w:tc>
          <w:tcPr>
            <w:tcW w:w="3150" w:type="dxa"/>
          </w:tcPr>
          <w:p w14:paraId="28CCEE91" w14:textId="77777777" w:rsidR="00B3765A" w:rsidRPr="009E4CE7" w:rsidRDefault="00AD43AE"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Subsidizing local production to reduce fertilizer price</w:t>
            </w:r>
            <w:r w:rsidR="001C41E0">
              <w:rPr>
                <w:rFonts w:ascii="Times New Roman" w:hAnsi="Times New Roman" w:cs="Times New Roman"/>
                <w:i w:val="0"/>
                <w:color w:val="auto"/>
                <w:sz w:val="20"/>
                <w:szCs w:val="20"/>
              </w:rPr>
              <w:t>s</w:t>
            </w:r>
            <w:r w:rsidR="00A17BB1" w:rsidRPr="009E4CE7">
              <w:rPr>
                <w:rFonts w:ascii="Times New Roman" w:hAnsi="Times New Roman" w:cs="Times New Roman"/>
                <w:i w:val="0"/>
                <w:color w:val="auto"/>
                <w:sz w:val="20"/>
                <w:szCs w:val="20"/>
              </w:rPr>
              <w:t xml:space="preserve"> instead of farmers</w:t>
            </w:r>
          </w:p>
        </w:tc>
      </w:tr>
      <w:tr w:rsidR="00B3765A" w:rsidRPr="009E4CE7" w14:paraId="28CCEE97" w14:textId="77777777" w:rsidTr="0042338E">
        <w:tc>
          <w:tcPr>
            <w:tcW w:w="1620" w:type="dxa"/>
          </w:tcPr>
          <w:p w14:paraId="28CCEE93" w14:textId="77777777" w:rsidR="00B3765A" w:rsidRPr="009E4CE7" w:rsidRDefault="00A17BB1"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Registration system</w:t>
            </w:r>
          </w:p>
        </w:tc>
        <w:tc>
          <w:tcPr>
            <w:tcW w:w="3060" w:type="dxa"/>
          </w:tcPr>
          <w:p w14:paraId="28CCEE94" w14:textId="77777777" w:rsidR="00B3765A" w:rsidRPr="009E4CE7" w:rsidRDefault="00A17BB1"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Often</w:t>
            </w:r>
            <w:r w:rsidR="001C41E0">
              <w:rPr>
                <w:rFonts w:ascii="Times New Roman" w:hAnsi="Times New Roman" w:cs="Times New Roman"/>
                <w:i w:val="0"/>
                <w:color w:val="auto"/>
                <w:sz w:val="20"/>
                <w:szCs w:val="20"/>
              </w:rPr>
              <w:t>,</w:t>
            </w:r>
            <w:r w:rsidRPr="009E4CE7">
              <w:rPr>
                <w:rFonts w:ascii="Times New Roman" w:hAnsi="Times New Roman" w:cs="Times New Roman"/>
                <w:i w:val="0"/>
                <w:color w:val="auto"/>
                <w:sz w:val="20"/>
                <w:szCs w:val="20"/>
              </w:rPr>
              <w:t xml:space="preserve"> weak beneficiary registration</w:t>
            </w:r>
          </w:p>
        </w:tc>
        <w:tc>
          <w:tcPr>
            <w:tcW w:w="3240" w:type="dxa"/>
          </w:tcPr>
          <w:p w14:paraId="28CCEE95" w14:textId="77777777" w:rsidR="00B3765A" w:rsidRPr="009E4CE7" w:rsidRDefault="00A17BB1"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Centralized, paper</w:t>
            </w:r>
            <w:r w:rsidR="001C41E0">
              <w:rPr>
                <w:rFonts w:ascii="Times New Roman" w:hAnsi="Times New Roman" w:cs="Times New Roman"/>
                <w:i w:val="0"/>
                <w:color w:val="auto"/>
                <w:sz w:val="20"/>
                <w:szCs w:val="20"/>
              </w:rPr>
              <w:t>-to-</w:t>
            </w:r>
            <w:r w:rsidR="0094795A">
              <w:rPr>
                <w:rFonts w:ascii="Times New Roman" w:hAnsi="Times New Roman" w:cs="Times New Roman"/>
                <w:i w:val="0"/>
                <w:color w:val="auto"/>
                <w:sz w:val="20"/>
                <w:szCs w:val="20"/>
              </w:rPr>
              <w:t xml:space="preserve">digital </w:t>
            </w:r>
            <w:r w:rsidRPr="009E4CE7">
              <w:rPr>
                <w:rFonts w:ascii="Times New Roman" w:hAnsi="Times New Roman" w:cs="Times New Roman"/>
                <w:i w:val="0"/>
                <w:color w:val="auto"/>
                <w:sz w:val="20"/>
                <w:szCs w:val="20"/>
              </w:rPr>
              <w:t>biometrics-based registration</w:t>
            </w:r>
          </w:p>
        </w:tc>
        <w:tc>
          <w:tcPr>
            <w:tcW w:w="3150" w:type="dxa"/>
          </w:tcPr>
          <w:p w14:paraId="28CCEE96" w14:textId="77777777" w:rsidR="00B3765A" w:rsidRPr="009E4CE7" w:rsidRDefault="00A17BB1"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 xml:space="preserve">Company registration through </w:t>
            </w:r>
            <w:r w:rsidR="001C41E0">
              <w:rPr>
                <w:rFonts w:ascii="Times New Roman" w:hAnsi="Times New Roman" w:cs="Times New Roman"/>
                <w:i w:val="0"/>
                <w:color w:val="auto"/>
                <w:sz w:val="20"/>
                <w:szCs w:val="20"/>
              </w:rPr>
              <w:t xml:space="preserve">the </w:t>
            </w:r>
            <w:r w:rsidRPr="009E4CE7">
              <w:rPr>
                <w:rFonts w:ascii="Times New Roman" w:hAnsi="Times New Roman" w:cs="Times New Roman"/>
                <w:i w:val="0"/>
                <w:color w:val="auto"/>
                <w:sz w:val="20"/>
                <w:szCs w:val="20"/>
              </w:rPr>
              <w:t>PFI framework</w:t>
            </w:r>
          </w:p>
        </w:tc>
      </w:tr>
      <w:tr w:rsidR="00A17BB1" w:rsidRPr="009E4CE7" w14:paraId="28CCEE9C" w14:textId="77777777" w:rsidTr="0042338E">
        <w:trPr>
          <w:trHeight w:val="251"/>
        </w:trPr>
        <w:tc>
          <w:tcPr>
            <w:tcW w:w="1620" w:type="dxa"/>
          </w:tcPr>
          <w:p w14:paraId="28CCEE98" w14:textId="77777777" w:rsidR="00A17BB1" w:rsidRPr="009E4CE7" w:rsidRDefault="003E6E4A" w:rsidP="00FF5A38">
            <w:pPr>
              <w:pStyle w:val="Caption"/>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Transparency and efficiency</w:t>
            </w:r>
          </w:p>
        </w:tc>
        <w:tc>
          <w:tcPr>
            <w:tcW w:w="3060" w:type="dxa"/>
          </w:tcPr>
          <w:p w14:paraId="28CCEE99" w14:textId="77777777" w:rsidR="00A17BB1" w:rsidRPr="009E4CE7" w:rsidRDefault="003E6E4A" w:rsidP="00FF5A38">
            <w:pPr>
              <w:pStyle w:val="Caption"/>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Low due to political control</w:t>
            </w:r>
            <w:r w:rsidR="0094795A">
              <w:rPr>
                <w:rFonts w:ascii="Times New Roman" w:hAnsi="Times New Roman" w:cs="Times New Roman"/>
                <w:i w:val="0"/>
                <w:color w:val="auto"/>
                <w:sz w:val="20"/>
                <w:szCs w:val="20"/>
              </w:rPr>
              <w:t xml:space="preserve"> and manual processes</w:t>
            </w:r>
          </w:p>
        </w:tc>
        <w:tc>
          <w:tcPr>
            <w:tcW w:w="3240" w:type="dxa"/>
          </w:tcPr>
          <w:p w14:paraId="28CCEE9A" w14:textId="77777777" w:rsidR="00A17BB1" w:rsidRPr="009E4CE7" w:rsidRDefault="003E6E4A" w:rsidP="00FF5A38">
            <w:pPr>
              <w:pStyle w:val="Caption"/>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Higher transparency through e-wallet and electronic monitoring</w:t>
            </w:r>
          </w:p>
        </w:tc>
        <w:tc>
          <w:tcPr>
            <w:tcW w:w="3150" w:type="dxa"/>
          </w:tcPr>
          <w:p w14:paraId="28CCEE9B" w14:textId="77777777" w:rsidR="00A17BB1" w:rsidRPr="009E4CE7" w:rsidRDefault="00512065" w:rsidP="009E4CE7">
            <w:pPr>
              <w:pStyle w:val="Caption"/>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Transparency on local production, but little information on small-scale farmer consumption</w:t>
            </w:r>
          </w:p>
        </w:tc>
      </w:tr>
      <w:tr w:rsidR="0042338E" w:rsidRPr="009E4CE7" w14:paraId="28CCEEA1" w14:textId="77777777" w:rsidTr="0042338E">
        <w:trPr>
          <w:trHeight w:val="1592"/>
        </w:trPr>
        <w:tc>
          <w:tcPr>
            <w:tcW w:w="1620" w:type="dxa"/>
          </w:tcPr>
          <w:p w14:paraId="28CCEE9D" w14:textId="77777777" w:rsidR="0042338E" w:rsidRPr="009E4CE7" w:rsidRDefault="0042338E" w:rsidP="0042338E">
            <w:pPr>
              <w:pStyle w:val="Caption"/>
              <w:spacing w:after="0"/>
              <w:jc w:val="both"/>
              <w:rPr>
                <w:rFonts w:ascii="Times New Roman" w:hAnsi="Times New Roman" w:cs="Times New Roman"/>
                <w:i w:val="0"/>
                <w:color w:val="auto"/>
                <w:sz w:val="20"/>
                <w:szCs w:val="20"/>
              </w:rPr>
            </w:pPr>
            <w:r>
              <w:rPr>
                <w:rFonts w:ascii="Times New Roman" w:hAnsi="Times New Roman" w:cs="Times New Roman"/>
                <w:i w:val="0"/>
                <w:color w:val="auto"/>
                <w:sz w:val="20"/>
                <w:szCs w:val="20"/>
              </w:rPr>
              <w:t>Organizational structures</w:t>
            </w:r>
          </w:p>
        </w:tc>
        <w:tc>
          <w:tcPr>
            <w:tcW w:w="3060" w:type="dxa"/>
          </w:tcPr>
          <w:p w14:paraId="28CCEE9E" w14:textId="77777777" w:rsidR="0042338E" w:rsidRPr="009E4CE7" w:rsidRDefault="0042338E" w:rsidP="0042338E">
            <w:pPr>
              <w:pStyle w:val="Caption"/>
              <w:spacing w:after="0"/>
              <w:jc w:val="both"/>
              <w:rPr>
                <w:rFonts w:ascii="Times New Roman" w:hAnsi="Times New Roman" w:cs="Times New Roman"/>
                <w:i w:val="0"/>
                <w:color w:val="auto"/>
                <w:sz w:val="20"/>
                <w:szCs w:val="20"/>
              </w:rPr>
            </w:pPr>
            <w:r w:rsidRPr="0042338E">
              <w:rPr>
                <w:rFonts w:ascii="Times New Roman" w:hAnsi="Times New Roman" w:cs="Times New Roman"/>
                <w:i w:val="0"/>
                <w:color w:val="auto"/>
                <w:sz w:val="20"/>
                <w:szCs w:val="20"/>
              </w:rPr>
              <w:t>The public sector oversees the design, procurement, distribution, and delivery of agricultural inputs to farmers.</w:t>
            </w:r>
          </w:p>
        </w:tc>
        <w:tc>
          <w:tcPr>
            <w:tcW w:w="3240" w:type="dxa"/>
          </w:tcPr>
          <w:p w14:paraId="28CCEE9F" w14:textId="7677383E" w:rsidR="0042338E" w:rsidRPr="009E4CE7" w:rsidRDefault="0042338E" w:rsidP="0042338E">
            <w:pPr>
              <w:pStyle w:val="Caption"/>
              <w:spacing w:after="0"/>
              <w:jc w:val="both"/>
              <w:rPr>
                <w:rFonts w:ascii="Times New Roman" w:hAnsi="Times New Roman" w:cs="Times New Roman"/>
                <w:i w:val="0"/>
                <w:color w:val="auto"/>
                <w:sz w:val="20"/>
                <w:szCs w:val="20"/>
              </w:rPr>
            </w:pPr>
            <w:r w:rsidRPr="0042338E">
              <w:rPr>
                <w:rFonts w:ascii="Times New Roman" w:hAnsi="Times New Roman" w:cs="Times New Roman"/>
                <w:i w:val="0"/>
                <w:color w:val="auto"/>
                <w:sz w:val="20"/>
                <w:szCs w:val="20"/>
              </w:rPr>
              <w:t>Lower public sector role, limited to policy design and subsidy payments, while the private sector handled procurement, distribution, and delivery to farmers, sometimes partnering with community groups such as NGOs and farmer associations</w:t>
            </w:r>
          </w:p>
        </w:tc>
        <w:tc>
          <w:tcPr>
            <w:tcW w:w="3150" w:type="dxa"/>
          </w:tcPr>
          <w:p w14:paraId="28CCEEA0" w14:textId="77777777" w:rsidR="0042338E" w:rsidRPr="009E4CE7" w:rsidRDefault="0042338E" w:rsidP="0042338E">
            <w:pPr>
              <w:pStyle w:val="Caption"/>
              <w:spacing w:after="0"/>
              <w:jc w:val="both"/>
              <w:rPr>
                <w:rFonts w:ascii="Times New Roman" w:hAnsi="Times New Roman" w:cs="Times New Roman"/>
                <w:i w:val="0"/>
                <w:color w:val="auto"/>
                <w:sz w:val="20"/>
                <w:szCs w:val="20"/>
              </w:rPr>
            </w:pPr>
            <w:r w:rsidRPr="0042338E">
              <w:rPr>
                <w:rFonts w:ascii="Times New Roman" w:hAnsi="Times New Roman" w:cs="Times New Roman"/>
                <w:i w:val="0"/>
                <w:color w:val="auto"/>
                <w:sz w:val="20"/>
                <w:szCs w:val="20"/>
              </w:rPr>
              <w:t>Lower public sector role, focused on policy and funding, with the private sector leading other activities and minimal involvement from community groups such as NGOs and farmer associations.</w:t>
            </w:r>
          </w:p>
        </w:tc>
      </w:tr>
      <w:tr w:rsidR="00512065" w:rsidRPr="009E4CE7" w14:paraId="28CCEEB9" w14:textId="77777777" w:rsidTr="0042338E">
        <w:tc>
          <w:tcPr>
            <w:tcW w:w="1620" w:type="dxa"/>
          </w:tcPr>
          <w:p w14:paraId="28CCEEA2" w14:textId="77777777" w:rsidR="00512065" w:rsidRPr="009E4CE7" w:rsidRDefault="00512065" w:rsidP="00FF5A38">
            <w:pPr>
              <w:pStyle w:val="Caption"/>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Main challenges</w:t>
            </w:r>
          </w:p>
        </w:tc>
        <w:tc>
          <w:tcPr>
            <w:tcW w:w="3060" w:type="dxa"/>
          </w:tcPr>
          <w:p w14:paraId="28CCEEA3" w14:textId="77777777" w:rsidR="00512065" w:rsidRPr="009E4CE7" w:rsidRDefault="00512065" w:rsidP="0051206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Widespread elite capture and corruption</w:t>
            </w:r>
          </w:p>
          <w:p w14:paraId="28CCEEA4" w14:textId="77777777" w:rsidR="007829A5" w:rsidRPr="009E4CE7" w:rsidRDefault="00512065" w:rsidP="009943C3">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Political control and interference</w:t>
            </w:r>
            <w:r w:rsidR="007829A5" w:rsidRPr="009E4CE7">
              <w:rPr>
                <w:rFonts w:ascii="Times New Roman" w:hAnsi="Times New Roman" w:cs="Times New Roman"/>
                <w:i w:val="0"/>
                <w:color w:val="auto"/>
                <w:sz w:val="20"/>
                <w:szCs w:val="20"/>
              </w:rPr>
              <w:t xml:space="preserve"> </w:t>
            </w:r>
          </w:p>
          <w:p w14:paraId="28CCEEA5" w14:textId="77777777" w:rsidR="007829A5" w:rsidRPr="009E4CE7" w:rsidRDefault="007829A5" w:rsidP="007829A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 xml:space="preserve">Mistargeting and poorly tailored input packages </w:t>
            </w:r>
          </w:p>
          <w:p w14:paraId="28CCEEA6" w14:textId="77777777" w:rsidR="007829A5" w:rsidRPr="009E4CE7" w:rsidRDefault="007829A5" w:rsidP="007829A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 xml:space="preserve">Low coverage </w:t>
            </w:r>
          </w:p>
          <w:p w14:paraId="28CCEEA7" w14:textId="77777777" w:rsidR="007829A5" w:rsidRPr="009E4CE7" w:rsidRDefault="007829A5" w:rsidP="007829A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Huge fiscal burden</w:t>
            </w:r>
          </w:p>
          <w:p w14:paraId="28CCEEA8" w14:textId="77777777" w:rsidR="00512065" w:rsidRPr="009E4CE7" w:rsidRDefault="009943C3" w:rsidP="007829A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Distribution inefficiencies</w:t>
            </w:r>
          </w:p>
          <w:p w14:paraId="28CCEEA9" w14:textId="77777777" w:rsidR="000805BF" w:rsidRPr="009E4CE7" w:rsidRDefault="000805BF" w:rsidP="000805BF">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Poor and highly inconsistent institutional environment and support</w:t>
            </w:r>
          </w:p>
          <w:p w14:paraId="28CCEEAA" w14:textId="77777777" w:rsidR="000805BF" w:rsidRPr="009E4CE7" w:rsidRDefault="000805BF" w:rsidP="000805BF">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Very weak institutional arrangement and capacity</w:t>
            </w:r>
            <w:r w:rsidRPr="009E4CE7">
              <w:rPr>
                <w:rFonts w:ascii="Times New Roman" w:hAnsi="Times New Roman" w:cs="Times New Roman"/>
                <w:sz w:val="20"/>
                <w:szCs w:val="20"/>
              </w:rPr>
              <w:t xml:space="preserve"> </w:t>
            </w:r>
          </w:p>
          <w:p w14:paraId="28CCEEAB" w14:textId="77777777" w:rsidR="000805BF" w:rsidRPr="009E4CE7" w:rsidRDefault="000805BF" w:rsidP="000805BF">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Huge fiscal burden</w:t>
            </w:r>
          </w:p>
        </w:tc>
        <w:tc>
          <w:tcPr>
            <w:tcW w:w="3240" w:type="dxa"/>
          </w:tcPr>
          <w:p w14:paraId="28CCEEAC" w14:textId="77777777" w:rsidR="007829A5" w:rsidRPr="009E4CE7" w:rsidRDefault="007829A5" w:rsidP="007829A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Locali</w:t>
            </w:r>
            <w:r w:rsidR="0042338E">
              <w:rPr>
                <w:rFonts w:ascii="Times New Roman" w:hAnsi="Times New Roman" w:cs="Times New Roman"/>
                <w:i w:val="0"/>
                <w:color w:val="auto"/>
                <w:sz w:val="20"/>
                <w:szCs w:val="20"/>
              </w:rPr>
              <w:t>z</w:t>
            </w:r>
            <w:r w:rsidRPr="009E4CE7">
              <w:rPr>
                <w:rFonts w:ascii="Times New Roman" w:hAnsi="Times New Roman" w:cs="Times New Roman"/>
                <w:i w:val="0"/>
                <w:color w:val="auto"/>
                <w:sz w:val="20"/>
                <w:szCs w:val="20"/>
              </w:rPr>
              <w:t>ed elite capture and corruption</w:t>
            </w:r>
          </w:p>
          <w:p w14:paraId="28CCEEAD" w14:textId="77777777" w:rsidR="00987EE1" w:rsidRPr="009E4CE7" w:rsidRDefault="0042338E" w:rsidP="007829A5">
            <w:pPr>
              <w:pStyle w:val="Caption"/>
              <w:numPr>
                <w:ilvl w:val="0"/>
                <w:numId w:val="5"/>
              </w:numPr>
              <w:spacing w:after="0"/>
              <w:jc w:val="both"/>
              <w:rPr>
                <w:rFonts w:ascii="Times New Roman" w:hAnsi="Times New Roman" w:cs="Times New Roman"/>
                <w:i w:val="0"/>
                <w:color w:val="auto"/>
                <w:sz w:val="20"/>
                <w:szCs w:val="20"/>
              </w:rPr>
            </w:pPr>
            <w:r>
              <w:rPr>
                <w:rFonts w:ascii="Times New Roman" w:hAnsi="Times New Roman" w:cs="Times New Roman"/>
                <w:i w:val="0"/>
                <w:color w:val="auto"/>
                <w:sz w:val="20"/>
                <w:szCs w:val="20"/>
              </w:rPr>
              <w:t>Delayed</w:t>
            </w:r>
            <w:r w:rsidR="00987EE1" w:rsidRPr="009E4CE7">
              <w:rPr>
                <w:rFonts w:ascii="Times New Roman" w:hAnsi="Times New Roman" w:cs="Times New Roman"/>
                <w:i w:val="0"/>
                <w:color w:val="auto"/>
                <w:sz w:val="20"/>
                <w:szCs w:val="20"/>
              </w:rPr>
              <w:t xml:space="preserve"> inconsistent funding </w:t>
            </w:r>
          </w:p>
          <w:p w14:paraId="28CCEEAE" w14:textId="77777777" w:rsidR="007829A5" w:rsidRPr="009E4CE7" w:rsidRDefault="00987EE1" w:rsidP="007829A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Round-tripping, leakage, adulteration, and diversion</w:t>
            </w:r>
          </w:p>
          <w:p w14:paraId="28CCEEAF" w14:textId="77777777" w:rsidR="00987EE1" w:rsidRPr="009E4CE7" w:rsidRDefault="001A1B09" w:rsidP="007829A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 xml:space="preserve">Poor institutional environment and </w:t>
            </w:r>
            <w:r w:rsidR="0042338E">
              <w:rPr>
                <w:rFonts w:ascii="Times New Roman" w:hAnsi="Times New Roman" w:cs="Times New Roman"/>
                <w:i w:val="0"/>
                <w:color w:val="auto"/>
                <w:sz w:val="20"/>
                <w:szCs w:val="20"/>
              </w:rPr>
              <w:t xml:space="preserve">weak </w:t>
            </w:r>
            <w:r w:rsidRPr="009E4CE7">
              <w:rPr>
                <w:rFonts w:ascii="Times New Roman" w:hAnsi="Times New Roman" w:cs="Times New Roman"/>
                <w:i w:val="0"/>
                <w:color w:val="auto"/>
                <w:sz w:val="20"/>
                <w:szCs w:val="20"/>
              </w:rPr>
              <w:t>support</w:t>
            </w:r>
          </w:p>
          <w:p w14:paraId="28CCEEB0" w14:textId="77777777" w:rsidR="001A1B09" w:rsidRPr="009E4CE7" w:rsidRDefault="0042338E" w:rsidP="007829A5">
            <w:pPr>
              <w:pStyle w:val="Caption"/>
              <w:numPr>
                <w:ilvl w:val="0"/>
                <w:numId w:val="5"/>
              </w:numPr>
              <w:spacing w:after="0"/>
              <w:jc w:val="both"/>
              <w:rPr>
                <w:rFonts w:ascii="Times New Roman" w:hAnsi="Times New Roman" w:cs="Times New Roman"/>
                <w:i w:val="0"/>
                <w:color w:val="auto"/>
                <w:sz w:val="20"/>
                <w:szCs w:val="20"/>
              </w:rPr>
            </w:pPr>
            <w:r>
              <w:rPr>
                <w:rFonts w:ascii="Times New Roman" w:hAnsi="Times New Roman" w:cs="Times New Roman"/>
                <w:i w:val="0"/>
                <w:color w:val="auto"/>
                <w:sz w:val="20"/>
                <w:szCs w:val="20"/>
              </w:rPr>
              <w:t>Limited</w:t>
            </w:r>
            <w:r w:rsidR="001A1B09" w:rsidRPr="009E4CE7">
              <w:rPr>
                <w:rFonts w:ascii="Times New Roman" w:hAnsi="Times New Roman" w:cs="Times New Roman"/>
                <w:i w:val="0"/>
                <w:color w:val="auto"/>
                <w:sz w:val="20"/>
                <w:szCs w:val="20"/>
              </w:rPr>
              <w:t xml:space="preserve"> institutional </w:t>
            </w:r>
            <w:r w:rsidRPr="009E4CE7">
              <w:rPr>
                <w:rFonts w:ascii="Times New Roman" w:hAnsi="Times New Roman" w:cs="Times New Roman"/>
                <w:i w:val="0"/>
                <w:color w:val="auto"/>
                <w:sz w:val="20"/>
                <w:szCs w:val="20"/>
              </w:rPr>
              <w:t xml:space="preserve">capacity </w:t>
            </w:r>
            <w:r w:rsidR="001A1B09" w:rsidRPr="009E4CE7">
              <w:rPr>
                <w:rFonts w:ascii="Times New Roman" w:hAnsi="Times New Roman" w:cs="Times New Roman"/>
                <w:i w:val="0"/>
                <w:color w:val="auto"/>
                <w:sz w:val="20"/>
                <w:szCs w:val="20"/>
              </w:rPr>
              <w:t xml:space="preserve">and </w:t>
            </w:r>
            <w:r w:rsidRPr="009E4CE7">
              <w:rPr>
                <w:rFonts w:ascii="Times New Roman" w:hAnsi="Times New Roman" w:cs="Times New Roman"/>
                <w:i w:val="0"/>
                <w:color w:val="auto"/>
                <w:sz w:val="20"/>
                <w:szCs w:val="20"/>
              </w:rPr>
              <w:t>arrangement</w:t>
            </w:r>
          </w:p>
          <w:p w14:paraId="28CCEEB1" w14:textId="77777777" w:rsidR="00512065" w:rsidRPr="009E4CE7" w:rsidRDefault="007829A5" w:rsidP="001A1B09">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H</w:t>
            </w:r>
            <w:r w:rsidR="0042338E">
              <w:rPr>
                <w:rFonts w:ascii="Times New Roman" w:hAnsi="Times New Roman" w:cs="Times New Roman"/>
                <w:i w:val="0"/>
                <w:color w:val="auto"/>
                <w:sz w:val="20"/>
                <w:szCs w:val="20"/>
              </w:rPr>
              <w:t>eavy</w:t>
            </w:r>
            <w:r w:rsidRPr="009E4CE7">
              <w:rPr>
                <w:rFonts w:ascii="Times New Roman" w:hAnsi="Times New Roman" w:cs="Times New Roman"/>
                <w:i w:val="0"/>
                <w:color w:val="auto"/>
                <w:sz w:val="20"/>
                <w:szCs w:val="20"/>
              </w:rPr>
              <w:t xml:space="preserve"> fiscal burden</w:t>
            </w:r>
          </w:p>
        </w:tc>
        <w:tc>
          <w:tcPr>
            <w:tcW w:w="3150" w:type="dxa"/>
          </w:tcPr>
          <w:p w14:paraId="28CCEEB2" w14:textId="77777777" w:rsidR="00A13525" w:rsidRPr="009E4CE7" w:rsidRDefault="000805BF" w:rsidP="00A1352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High market price</w:t>
            </w:r>
          </w:p>
          <w:p w14:paraId="28CCEEB3" w14:textId="77777777" w:rsidR="00A13525" w:rsidRPr="009E4CE7" w:rsidRDefault="0042338E" w:rsidP="00A13525">
            <w:pPr>
              <w:pStyle w:val="Caption"/>
              <w:numPr>
                <w:ilvl w:val="0"/>
                <w:numId w:val="5"/>
              </w:numPr>
              <w:spacing w:after="0"/>
              <w:jc w:val="both"/>
              <w:rPr>
                <w:rFonts w:ascii="Times New Roman" w:hAnsi="Times New Roman" w:cs="Times New Roman"/>
                <w:i w:val="0"/>
                <w:color w:val="auto"/>
                <w:sz w:val="20"/>
                <w:szCs w:val="20"/>
              </w:rPr>
            </w:pPr>
            <w:r>
              <w:rPr>
                <w:rFonts w:ascii="Times New Roman" w:hAnsi="Times New Roman" w:cs="Times New Roman"/>
                <w:i w:val="0"/>
                <w:color w:val="auto"/>
                <w:sz w:val="20"/>
                <w:szCs w:val="20"/>
              </w:rPr>
              <w:t>Weak i</w:t>
            </w:r>
            <w:r w:rsidR="000805BF" w:rsidRPr="009E4CE7">
              <w:rPr>
                <w:rFonts w:ascii="Times New Roman" w:hAnsi="Times New Roman" w:cs="Times New Roman"/>
                <w:i w:val="0"/>
                <w:color w:val="auto"/>
                <w:sz w:val="20"/>
                <w:szCs w:val="20"/>
              </w:rPr>
              <w:t xml:space="preserve">nfrastructure and </w:t>
            </w:r>
            <w:r>
              <w:rPr>
                <w:rFonts w:ascii="Times New Roman" w:hAnsi="Times New Roman" w:cs="Times New Roman"/>
                <w:i w:val="0"/>
                <w:color w:val="auto"/>
                <w:sz w:val="20"/>
                <w:szCs w:val="20"/>
              </w:rPr>
              <w:t xml:space="preserve">constrained </w:t>
            </w:r>
            <w:r w:rsidR="000805BF" w:rsidRPr="009E4CE7">
              <w:rPr>
                <w:rFonts w:ascii="Times New Roman" w:hAnsi="Times New Roman" w:cs="Times New Roman"/>
                <w:i w:val="0"/>
                <w:color w:val="auto"/>
                <w:sz w:val="20"/>
                <w:szCs w:val="20"/>
              </w:rPr>
              <w:t>input supply chain</w:t>
            </w:r>
            <w:r>
              <w:rPr>
                <w:rFonts w:ascii="Times New Roman" w:hAnsi="Times New Roman" w:cs="Times New Roman"/>
                <w:i w:val="0"/>
                <w:color w:val="auto"/>
                <w:sz w:val="20"/>
                <w:szCs w:val="20"/>
              </w:rPr>
              <w:t>s</w:t>
            </w:r>
          </w:p>
          <w:p w14:paraId="28CCEEB4" w14:textId="77777777" w:rsidR="00A03F1E" w:rsidRPr="009E4CE7" w:rsidRDefault="000805BF" w:rsidP="00A1352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L</w:t>
            </w:r>
            <w:r w:rsidR="0042338E">
              <w:rPr>
                <w:rFonts w:ascii="Times New Roman" w:hAnsi="Times New Roman" w:cs="Times New Roman"/>
                <w:i w:val="0"/>
                <w:color w:val="auto"/>
                <w:sz w:val="20"/>
                <w:szCs w:val="20"/>
              </w:rPr>
              <w:t>ow awareness and limited</w:t>
            </w:r>
            <w:r w:rsidRPr="009E4CE7">
              <w:rPr>
                <w:rFonts w:ascii="Times New Roman" w:hAnsi="Times New Roman" w:cs="Times New Roman"/>
                <w:i w:val="0"/>
                <w:color w:val="auto"/>
                <w:sz w:val="20"/>
                <w:szCs w:val="20"/>
              </w:rPr>
              <w:t xml:space="preserve"> </w:t>
            </w:r>
            <w:r w:rsidR="0042338E" w:rsidRPr="009E4CE7">
              <w:rPr>
                <w:rFonts w:ascii="Times New Roman" w:hAnsi="Times New Roman" w:cs="Times New Roman"/>
                <w:i w:val="0"/>
                <w:color w:val="auto"/>
                <w:sz w:val="20"/>
                <w:szCs w:val="20"/>
              </w:rPr>
              <w:t xml:space="preserve">capacity </w:t>
            </w:r>
            <w:r w:rsidR="0042338E">
              <w:rPr>
                <w:rFonts w:ascii="Times New Roman" w:hAnsi="Times New Roman" w:cs="Times New Roman"/>
                <w:i w:val="0"/>
                <w:color w:val="auto"/>
                <w:sz w:val="20"/>
                <w:szCs w:val="20"/>
              </w:rPr>
              <w:t xml:space="preserve">among </w:t>
            </w:r>
            <w:r w:rsidRPr="009E4CE7">
              <w:rPr>
                <w:rFonts w:ascii="Times New Roman" w:hAnsi="Times New Roman" w:cs="Times New Roman"/>
                <w:i w:val="0"/>
                <w:color w:val="auto"/>
                <w:sz w:val="20"/>
                <w:szCs w:val="20"/>
              </w:rPr>
              <w:t>small-scale farmer</w:t>
            </w:r>
            <w:r w:rsidR="0042338E">
              <w:rPr>
                <w:rFonts w:ascii="Times New Roman" w:hAnsi="Times New Roman" w:cs="Times New Roman"/>
                <w:i w:val="0"/>
                <w:color w:val="auto"/>
                <w:sz w:val="20"/>
                <w:szCs w:val="20"/>
              </w:rPr>
              <w:t>s</w:t>
            </w:r>
          </w:p>
          <w:p w14:paraId="28CCEEB5" w14:textId="77777777" w:rsidR="00A13525" w:rsidRPr="009E4CE7" w:rsidRDefault="00A03F1E" w:rsidP="00A1352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Strong farmers’ preference for subsidized fertilizers</w:t>
            </w:r>
          </w:p>
          <w:p w14:paraId="28CCEEB6" w14:textId="77777777" w:rsidR="000805BF" w:rsidRPr="009E4CE7" w:rsidRDefault="000805BF" w:rsidP="000805BF">
            <w:pPr>
              <w:pStyle w:val="ListParagraph"/>
              <w:numPr>
                <w:ilvl w:val="0"/>
                <w:numId w:val="5"/>
              </w:numPr>
              <w:rPr>
                <w:rFonts w:ascii="Times New Roman" w:hAnsi="Times New Roman" w:cs="Times New Roman"/>
                <w:iCs/>
                <w:sz w:val="20"/>
                <w:szCs w:val="20"/>
              </w:rPr>
            </w:pPr>
            <w:r w:rsidRPr="009E4CE7">
              <w:rPr>
                <w:rFonts w:ascii="Times New Roman" w:hAnsi="Times New Roman" w:cs="Times New Roman"/>
                <w:iCs/>
                <w:sz w:val="20"/>
                <w:szCs w:val="20"/>
              </w:rPr>
              <w:t xml:space="preserve">High </w:t>
            </w:r>
            <w:r w:rsidR="0042338E" w:rsidRPr="009E4CE7">
              <w:rPr>
                <w:rFonts w:ascii="Times New Roman" w:hAnsi="Times New Roman" w:cs="Times New Roman"/>
                <w:iCs/>
                <w:sz w:val="20"/>
                <w:szCs w:val="20"/>
              </w:rPr>
              <w:t xml:space="preserve">financing </w:t>
            </w:r>
            <w:r w:rsidRPr="009E4CE7">
              <w:rPr>
                <w:rFonts w:ascii="Times New Roman" w:hAnsi="Times New Roman" w:cs="Times New Roman"/>
                <w:iCs/>
                <w:sz w:val="20"/>
                <w:szCs w:val="20"/>
              </w:rPr>
              <w:t>cost</w:t>
            </w:r>
            <w:r w:rsidR="0042338E">
              <w:rPr>
                <w:rFonts w:ascii="Times New Roman" w:hAnsi="Times New Roman" w:cs="Times New Roman"/>
                <w:iCs/>
                <w:sz w:val="20"/>
                <w:szCs w:val="20"/>
              </w:rPr>
              <w:t>s</w:t>
            </w:r>
          </w:p>
          <w:p w14:paraId="28CCEEB7" w14:textId="77777777" w:rsidR="00657D05" w:rsidRPr="009E4CE7" w:rsidRDefault="0042338E" w:rsidP="00657D05">
            <w:pPr>
              <w:pStyle w:val="Caption"/>
              <w:numPr>
                <w:ilvl w:val="0"/>
                <w:numId w:val="5"/>
              </w:numPr>
              <w:spacing w:after="0"/>
              <w:jc w:val="both"/>
              <w:rPr>
                <w:rFonts w:ascii="Times New Roman" w:hAnsi="Times New Roman" w:cs="Times New Roman"/>
                <w:i w:val="0"/>
                <w:color w:val="auto"/>
                <w:sz w:val="20"/>
                <w:szCs w:val="20"/>
              </w:rPr>
            </w:pPr>
            <w:r>
              <w:rPr>
                <w:rFonts w:ascii="Times New Roman" w:hAnsi="Times New Roman" w:cs="Times New Roman"/>
                <w:i w:val="0"/>
                <w:color w:val="auto"/>
                <w:sz w:val="20"/>
                <w:szCs w:val="20"/>
              </w:rPr>
              <w:t>Vulnerable</w:t>
            </w:r>
            <w:r w:rsidR="00657D05" w:rsidRPr="009E4CE7">
              <w:rPr>
                <w:rFonts w:ascii="Times New Roman" w:hAnsi="Times New Roman" w:cs="Times New Roman"/>
                <w:i w:val="0"/>
                <w:color w:val="auto"/>
                <w:sz w:val="20"/>
                <w:szCs w:val="20"/>
              </w:rPr>
              <w:t xml:space="preserve"> to </w:t>
            </w:r>
            <w:r w:rsidR="00A03F1E" w:rsidRPr="009E4CE7">
              <w:rPr>
                <w:rFonts w:ascii="Times New Roman" w:hAnsi="Times New Roman" w:cs="Times New Roman"/>
                <w:i w:val="0"/>
                <w:color w:val="auto"/>
                <w:sz w:val="20"/>
                <w:szCs w:val="20"/>
              </w:rPr>
              <w:t xml:space="preserve">market distortions </w:t>
            </w:r>
            <w:r>
              <w:rPr>
                <w:rFonts w:ascii="Times New Roman" w:hAnsi="Times New Roman" w:cs="Times New Roman"/>
                <w:i w:val="0"/>
                <w:color w:val="auto"/>
                <w:sz w:val="20"/>
                <w:szCs w:val="20"/>
              </w:rPr>
              <w:t>from</w:t>
            </w:r>
            <w:r w:rsidR="00A03F1E" w:rsidRPr="009E4CE7">
              <w:rPr>
                <w:rFonts w:ascii="Times New Roman" w:hAnsi="Times New Roman" w:cs="Times New Roman"/>
                <w:i w:val="0"/>
                <w:color w:val="auto"/>
                <w:sz w:val="20"/>
                <w:szCs w:val="20"/>
              </w:rPr>
              <w:t xml:space="preserve"> </w:t>
            </w:r>
            <w:r w:rsidR="00657D05" w:rsidRPr="009E4CE7">
              <w:rPr>
                <w:rFonts w:ascii="Times New Roman" w:hAnsi="Times New Roman" w:cs="Times New Roman"/>
                <w:i w:val="0"/>
                <w:color w:val="auto"/>
                <w:sz w:val="20"/>
                <w:szCs w:val="20"/>
              </w:rPr>
              <w:t xml:space="preserve">international </w:t>
            </w:r>
            <w:r w:rsidR="00A03F1E" w:rsidRPr="009E4CE7">
              <w:rPr>
                <w:rFonts w:ascii="Times New Roman" w:hAnsi="Times New Roman" w:cs="Times New Roman"/>
                <w:i w:val="0"/>
                <w:color w:val="auto"/>
                <w:sz w:val="20"/>
                <w:szCs w:val="20"/>
              </w:rPr>
              <w:t xml:space="preserve">fertilizer </w:t>
            </w:r>
            <w:r w:rsidR="00657D05" w:rsidRPr="009E4CE7">
              <w:rPr>
                <w:rFonts w:ascii="Times New Roman" w:hAnsi="Times New Roman" w:cs="Times New Roman"/>
                <w:i w:val="0"/>
                <w:color w:val="auto"/>
                <w:sz w:val="20"/>
                <w:szCs w:val="20"/>
              </w:rPr>
              <w:t>market</w:t>
            </w:r>
            <w:r>
              <w:rPr>
                <w:rFonts w:ascii="Times New Roman" w:hAnsi="Times New Roman" w:cs="Times New Roman"/>
                <w:i w:val="0"/>
                <w:color w:val="auto"/>
                <w:sz w:val="20"/>
                <w:szCs w:val="20"/>
              </w:rPr>
              <w:t xml:space="preserve"> price fluctuations</w:t>
            </w:r>
          </w:p>
          <w:p w14:paraId="28CCEEB8" w14:textId="77777777" w:rsidR="00657D05" w:rsidRPr="009E4CE7" w:rsidRDefault="00657D05" w:rsidP="0042338E">
            <w:pPr>
              <w:pStyle w:val="Caption"/>
              <w:numPr>
                <w:ilvl w:val="0"/>
                <w:numId w:val="5"/>
              </w:numPr>
              <w:spacing w:after="0"/>
              <w:jc w:val="both"/>
              <w:rPr>
                <w:rFonts w:ascii="Times New Roman" w:hAnsi="Times New Roman" w:cs="Times New Roman"/>
                <w:sz w:val="20"/>
                <w:szCs w:val="20"/>
              </w:rPr>
            </w:pPr>
            <w:r w:rsidRPr="009E4CE7">
              <w:rPr>
                <w:rFonts w:ascii="Times New Roman" w:hAnsi="Times New Roman" w:cs="Times New Roman"/>
                <w:i w:val="0"/>
                <w:color w:val="auto"/>
                <w:sz w:val="20"/>
                <w:szCs w:val="20"/>
              </w:rPr>
              <w:t>Fertilizer-focused</w:t>
            </w:r>
            <w:r w:rsidR="0042338E">
              <w:rPr>
                <w:rFonts w:ascii="Times New Roman" w:hAnsi="Times New Roman" w:cs="Times New Roman"/>
                <w:i w:val="0"/>
                <w:color w:val="auto"/>
                <w:sz w:val="20"/>
                <w:szCs w:val="20"/>
              </w:rPr>
              <w:t xml:space="preserve"> approach</w:t>
            </w:r>
            <w:r w:rsidRPr="009E4CE7">
              <w:rPr>
                <w:rFonts w:ascii="Times New Roman" w:hAnsi="Times New Roman" w:cs="Times New Roman"/>
                <w:i w:val="0"/>
                <w:color w:val="auto"/>
                <w:sz w:val="20"/>
                <w:szCs w:val="20"/>
              </w:rPr>
              <w:t xml:space="preserve">, with no </w:t>
            </w:r>
            <w:r w:rsidR="0042338E">
              <w:rPr>
                <w:rFonts w:ascii="Times New Roman" w:hAnsi="Times New Roman" w:cs="Times New Roman"/>
                <w:i w:val="0"/>
                <w:color w:val="auto"/>
                <w:sz w:val="20"/>
                <w:szCs w:val="20"/>
              </w:rPr>
              <w:t>attention to</w:t>
            </w:r>
            <w:r w:rsidRPr="009E4CE7">
              <w:rPr>
                <w:rFonts w:ascii="Times New Roman" w:hAnsi="Times New Roman" w:cs="Times New Roman"/>
                <w:i w:val="0"/>
                <w:color w:val="auto"/>
                <w:sz w:val="20"/>
                <w:szCs w:val="20"/>
              </w:rPr>
              <w:t xml:space="preserve"> hybrid seeds</w:t>
            </w:r>
          </w:p>
        </w:tc>
      </w:tr>
      <w:tr w:rsidR="005B3B89" w:rsidRPr="009E4CE7" w14:paraId="28CCEEC3" w14:textId="77777777" w:rsidTr="0042338E">
        <w:tc>
          <w:tcPr>
            <w:tcW w:w="1620" w:type="dxa"/>
          </w:tcPr>
          <w:p w14:paraId="28CCEEBA" w14:textId="77777777" w:rsidR="005B3B89" w:rsidRPr="009E4CE7" w:rsidRDefault="005B3B89" w:rsidP="00FF5A38">
            <w:pPr>
              <w:pStyle w:val="Caption"/>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Achievements</w:t>
            </w:r>
          </w:p>
        </w:tc>
        <w:tc>
          <w:tcPr>
            <w:tcW w:w="3060" w:type="dxa"/>
          </w:tcPr>
          <w:p w14:paraId="28CCEEBB" w14:textId="77777777" w:rsidR="005B3B89" w:rsidRPr="009E4CE7" w:rsidRDefault="005B3B89" w:rsidP="00512065">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Limited, due to inefficiencies and late input supply</w:t>
            </w:r>
          </w:p>
        </w:tc>
        <w:tc>
          <w:tcPr>
            <w:tcW w:w="3240" w:type="dxa"/>
          </w:tcPr>
          <w:p w14:paraId="28CCEEBC" w14:textId="77777777" w:rsidR="005B3B89" w:rsidRPr="009E4CE7" w:rsidRDefault="005B3B89" w:rsidP="005B3B89">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Notable yield</w:t>
            </w:r>
            <w:r w:rsidR="002F7809" w:rsidRPr="009E4CE7">
              <w:rPr>
                <w:rFonts w:ascii="Times New Roman" w:hAnsi="Times New Roman" w:cs="Times New Roman"/>
                <w:i w:val="0"/>
                <w:color w:val="auto"/>
                <w:sz w:val="20"/>
                <w:szCs w:val="20"/>
              </w:rPr>
              <w:t xml:space="preserve"> and welfare</w:t>
            </w:r>
            <w:r w:rsidRPr="009E4CE7">
              <w:rPr>
                <w:rFonts w:ascii="Times New Roman" w:hAnsi="Times New Roman" w:cs="Times New Roman"/>
                <w:i w:val="0"/>
                <w:color w:val="auto"/>
                <w:sz w:val="20"/>
                <w:szCs w:val="20"/>
              </w:rPr>
              <w:t xml:space="preserve"> </w:t>
            </w:r>
            <w:r w:rsidR="002F7809" w:rsidRPr="009E4CE7">
              <w:rPr>
                <w:rFonts w:ascii="Times New Roman" w:hAnsi="Times New Roman" w:cs="Times New Roman"/>
                <w:i w:val="0"/>
                <w:color w:val="auto"/>
                <w:sz w:val="20"/>
                <w:szCs w:val="20"/>
              </w:rPr>
              <w:t>gains</w:t>
            </w:r>
            <w:r w:rsidRPr="009E4CE7">
              <w:rPr>
                <w:rFonts w:ascii="Times New Roman" w:hAnsi="Times New Roman" w:cs="Times New Roman"/>
                <w:i w:val="0"/>
                <w:color w:val="auto"/>
                <w:sz w:val="20"/>
                <w:szCs w:val="20"/>
              </w:rPr>
              <w:t xml:space="preserve"> reported</w:t>
            </w:r>
            <w:r w:rsidR="0094795A">
              <w:rPr>
                <w:rFonts w:ascii="Times New Roman" w:hAnsi="Times New Roman" w:cs="Times New Roman"/>
                <w:i w:val="0"/>
                <w:color w:val="auto"/>
                <w:sz w:val="20"/>
                <w:szCs w:val="20"/>
              </w:rPr>
              <w:t xml:space="preserve"> in some areas</w:t>
            </w:r>
          </w:p>
          <w:p w14:paraId="28CCEEBD" w14:textId="77777777" w:rsidR="005B3B89" w:rsidRPr="009E4CE7" w:rsidRDefault="005B3B89" w:rsidP="005B3B89">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Better targeting</w:t>
            </w:r>
            <w:r w:rsidR="002F7809" w:rsidRPr="009E4CE7">
              <w:rPr>
                <w:rFonts w:ascii="Times New Roman" w:hAnsi="Times New Roman" w:cs="Times New Roman"/>
                <w:i w:val="0"/>
                <w:color w:val="auto"/>
                <w:sz w:val="20"/>
                <w:szCs w:val="20"/>
              </w:rPr>
              <w:t xml:space="preserve"> and higher coverage</w:t>
            </w:r>
            <w:r w:rsidRPr="009E4CE7">
              <w:rPr>
                <w:rFonts w:ascii="Times New Roman" w:hAnsi="Times New Roman" w:cs="Times New Roman"/>
                <w:i w:val="0"/>
                <w:color w:val="auto"/>
                <w:sz w:val="20"/>
                <w:szCs w:val="20"/>
              </w:rPr>
              <w:t xml:space="preserve"> across the country </w:t>
            </w:r>
          </w:p>
          <w:p w14:paraId="28CCEEBE" w14:textId="77777777" w:rsidR="002F7809" w:rsidRPr="009E4CE7" w:rsidRDefault="005B3B89" w:rsidP="005B3B89">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Lower corruption and political interference or control</w:t>
            </w:r>
            <w:r w:rsidR="002F7809" w:rsidRPr="009E4CE7">
              <w:rPr>
                <w:rFonts w:ascii="Times New Roman" w:hAnsi="Times New Roman" w:cs="Times New Roman"/>
                <w:i w:val="0"/>
                <w:color w:val="auto"/>
                <w:sz w:val="20"/>
                <w:szCs w:val="20"/>
              </w:rPr>
              <w:t xml:space="preserve"> </w:t>
            </w:r>
          </w:p>
          <w:p w14:paraId="28CCEEBF" w14:textId="77777777" w:rsidR="005B3B89" w:rsidRPr="009E4CE7" w:rsidRDefault="002F7809" w:rsidP="005B3B89">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Higher transparency and cost control</w:t>
            </w:r>
          </w:p>
        </w:tc>
        <w:tc>
          <w:tcPr>
            <w:tcW w:w="3150" w:type="dxa"/>
          </w:tcPr>
          <w:p w14:paraId="28CCEEC0" w14:textId="77777777" w:rsidR="009E4CE7" w:rsidRPr="009E4CE7" w:rsidRDefault="002F7809" w:rsidP="009E4CE7">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 xml:space="preserve">Higher fertilizer production and consumption </w:t>
            </w:r>
          </w:p>
          <w:p w14:paraId="28CCEEC1" w14:textId="77777777" w:rsidR="009E4CE7" w:rsidRPr="009E4CE7" w:rsidRDefault="009E4CE7" w:rsidP="009E4CE7">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Availability of different fertilizer type</w:t>
            </w:r>
            <w:r w:rsidR="001C41E0">
              <w:rPr>
                <w:rFonts w:ascii="Times New Roman" w:hAnsi="Times New Roman" w:cs="Times New Roman"/>
                <w:i w:val="0"/>
                <w:color w:val="auto"/>
                <w:sz w:val="20"/>
                <w:szCs w:val="20"/>
              </w:rPr>
              <w:t>s</w:t>
            </w:r>
          </w:p>
          <w:p w14:paraId="28CCEEC2" w14:textId="77777777" w:rsidR="009E4CE7" w:rsidRPr="009E4CE7" w:rsidRDefault="009E4CE7" w:rsidP="009E4CE7">
            <w:pPr>
              <w:pStyle w:val="Caption"/>
              <w:numPr>
                <w:ilvl w:val="0"/>
                <w:numId w:val="5"/>
              </w:numPr>
              <w:spacing w:after="0"/>
              <w:jc w:val="both"/>
              <w:rPr>
                <w:rFonts w:ascii="Times New Roman" w:hAnsi="Times New Roman" w:cs="Times New Roman"/>
                <w:i w:val="0"/>
                <w:color w:val="auto"/>
                <w:sz w:val="20"/>
                <w:szCs w:val="20"/>
              </w:rPr>
            </w:pPr>
            <w:r w:rsidRPr="009E4CE7">
              <w:rPr>
                <w:rFonts w:ascii="Times New Roman" w:hAnsi="Times New Roman" w:cs="Times New Roman"/>
                <w:i w:val="0"/>
                <w:color w:val="auto"/>
                <w:sz w:val="20"/>
                <w:szCs w:val="20"/>
              </w:rPr>
              <w:t xml:space="preserve">Further impact evaluation </w:t>
            </w:r>
            <w:r w:rsidR="001C41E0">
              <w:rPr>
                <w:rFonts w:ascii="Times New Roman" w:hAnsi="Times New Roman" w:cs="Times New Roman"/>
                <w:i w:val="0"/>
                <w:color w:val="auto"/>
                <w:sz w:val="20"/>
                <w:szCs w:val="20"/>
              </w:rPr>
              <w:t xml:space="preserve">is </w:t>
            </w:r>
            <w:r w:rsidRPr="009E4CE7">
              <w:rPr>
                <w:rFonts w:ascii="Times New Roman" w:hAnsi="Times New Roman" w:cs="Times New Roman"/>
                <w:i w:val="0"/>
                <w:color w:val="auto"/>
                <w:sz w:val="20"/>
                <w:szCs w:val="20"/>
              </w:rPr>
              <w:t xml:space="preserve">needed, particularly </w:t>
            </w:r>
            <w:r w:rsidR="001C41E0">
              <w:rPr>
                <w:rFonts w:ascii="Times New Roman" w:hAnsi="Times New Roman" w:cs="Times New Roman"/>
                <w:i w:val="0"/>
                <w:color w:val="auto"/>
                <w:sz w:val="20"/>
                <w:szCs w:val="20"/>
              </w:rPr>
              <w:t>concerning</w:t>
            </w:r>
            <w:r w:rsidRPr="009E4CE7">
              <w:rPr>
                <w:rFonts w:ascii="Times New Roman" w:hAnsi="Times New Roman" w:cs="Times New Roman"/>
                <w:i w:val="0"/>
                <w:color w:val="auto"/>
                <w:sz w:val="20"/>
                <w:szCs w:val="20"/>
              </w:rPr>
              <w:t xml:space="preserve"> </w:t>
            </w:r>
            <w:r w:rsidR="001C41E0">
              <w:rPr>
                <w:rFonts w:ascii="Times New Roman" w:hAnsi="Times New Roman" w:cs="Times New Roman"/>
                <w:i w:val="0"/>
                <w:color w:val="auto"/>
                <w:sz w:val="20"/>
                <w:szCs w:val="20"/>
              </w:rPr>
              <w:t xml:space="preserve">access by </w:t>
            </w:r>
            <w:r w:rsidRPr="009E4CE7">
              <w:rPr>
                <w:rFonts w:ascii="Times New Roman" w:hAnsi="Times New Roman" w:cs="Times New Roman"/>
                <w:i w:val="0"/>
                <w:color w:val="auto"/>
                <w:sz w:val="20"/>
                <w:szCs w:val="20"/>
              </w:rPr>
              <w:t>small-scale farmers</w:t>
            </w:r>
            <w:r w:rsidR="007102BE">
              <w:rPr>
                <w:rFonts w:ascii="Times New Roman" w:hAnsi="Times New Roman" w:cs="Times New Roman"/>
                <w:i w:val="0"/>
                <w:color w:val="auto"/>
                <w:sz w:val="20"/>
                <w:szCs w:val="20"/>
              </w:rPr>
              <w:t>.</w:t>
            </w:r>
          </w:p>
        </w:tc>
      </w:tr>
    </w:tbl>
    <w:p w14:paraId="28CCEEC4" w14:textId="77777777" w:rsidR="00AE66D3" w:rsidRDefault="009E4CE7" w:rsidP="009E4CE7">
      <w:pPr>
        <w:pStyle w:val="Caption"/>
        <w:jc w:val="both"/>
      </w:pPr>
      <w:r w:rsidRPr="009E4CE7">
        <w:rPr>
          <w:rFonts w:ascii="Times New Roman" w:hAnsi="Times New Roman" w:cs="Times New Roman"/>
          <w:i w:val="0"/>
          <w:color w:val="auto"/>
          <w:sz w:val="20"/>
        </w:rPr>
        <w:t>Source: Authors’ compilation based on literature review and participants’ perspectives.</w:t>
      </w:r>
    </w:p>
    <w:sectPr w:rsidR="00AE66D3" w:rsidSect="0042338E">
      <w:footerReference w:type="default" r:id="rId14"/>
      <w:pgSz w:w="11906" w:h="16838"/>
      <w:pgMar w:top="540" w:right="1417" w:bottom="4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CCEED1" w14:textId="77777777" w:rsidR="00693356" w:rsidRDefault="00693356" w:rsidP="009C2115">
      <w:pPr>
        <w:spacing w:after="0" w:line="240" w:lineRule="auto"/>
      </w:pPr>
      <w:r>
        <w:separator/>
      </w:r>
    </w:p>
  </w:endnote>
  <w:endnote w:type="continuationSeparator" w:id="0">
    <w:p w14:paraId="28CCEED2" w14:textId="77777777" w:rsidR="00693356" w:rsidRDefault="00693356" w:rsidP="009C21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9891590"/>
      <w:docPartObj>
        <w:docPartGallery w:val="Page Numbers (Bottom of Page)"/>
        <w:docPartUnique/>
      </w:docPartObj>
    </w:sdtPr>
    <w:sdtEndPr/>
    <w:sdtContent>
      <w:p w14:paraId="28CCEED6" w14:textId="77777777" w:rsidR="009C2115" w:rsidRDefault="009C2115">
        <w:pPr>
          <w:pStyle w:val="Footer"/>
          <w:jc w:val="right"/>
        </w:pPr>
        <w:r>
          <w:fldChar w:fldCharType="begin"/>
        </w:r>
        <w:r>
          <w:instrText>PAGE   \* MERGEFORMAT</w:instrText>
        </w:r>
        <w:r>
          <w:fldChar w:fldCharType="separate"/>
        </w:r>
        <w:r>
          <w:rPr>
            <w:lang w:val="de-DE"/>
          </w:rPr>
          <w:t>2</w:t>
        </w:r>
        <w:r>
          <w:fldChar w:fldCharType="end"/>
        </w:r>
      </w:p>
    </w:sdtContent>
  </w:sdt>
  <w:p w14:paraId="28CCEED7" w14:textId="77777777" w:rsidR="009C2115" w:rsidRDefault="009C21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8070229"/>
      <w:docPartObj>
        <w:docPartGallery w:val="Page Numbers (Bottom of Page)"/>
        <w:docPartUnique/>
      </w:docPartObj>
    </w:sdtPr>
    <w:sdtEndPr/>
    <w:sdtContent>
      <w:p w14:paraId="28CCEEDB" w14:textId="77777777" w:rsidR="0042338E" w:rsidRDefault="0042338E">
        <w:pPr>
          <w:pStyle w:val="Footer"/>
          <w:jc w:val="right"/>
        </w:pPr>
        <w:r>
          <w:fldChar w:fldCharType="begin"/>
        </w:r>
        <w:r>
          <w:instrText>PAGE   \* MERGEFORMAT</w:instrText>
        </w:r>
        <w:r>
          <w:fldChar w:fldCharType="separate"/>
        </w:r>
        <w:r>
          <w:rPr>
            <w:lang w:val="de-DE"/>
          </w:rPr>
          <w:t>2</w:t>
        </w:r>
        <w:r>
          <w:fldChar w:fldCharType="end"/>
        </w:r>
      </w:p>
    </w:sdtContent>
  </w:sdt>
  <w:p w14:paraId="28CCEEDC" w14:textId="77777777" w:rsidR="0042338E" w:rsidRDefault="004233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CCEECF" w14:textId="77777777" w:rsidR="00693356" w:rsidRDefault="00693356" w:rsidP="009C2115">
      <w:pPr>
        <w:spacing w:after="0" w:line="240" w:lineRule="auto"/>
      </w:pPr>
      <w:r>
        <w:separator/>
      </w:r>
    </w:p>
  </w:footnote>
  <w:footnote w:type="continuationSeparator" w:id="0">
    <w:p w14:paraId="28CCEED0" w14:textId="77777777" w:rsidR="00693356" w:rsidRDefault="00693356" w:rsidP="009C21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CCEEDA" w14:textId="77777777" w:rsidR="0042338E" w:rsidRDefault="004233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CE6CB0B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28656CFA"/>
    <w:multiLevelType w:val="hybridMultilevel"/>
    <w:tmpl w:val="13449F60"/>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33127A6B"/>
    <w:multiLevelType w:val="hybridMultilevel"/>
    <w:tmpl w:val="617E8490"/>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5B286908"/>
    <w:multiLevelType w:val="multilevel"/>
    <w:tmpl w:val="DF74E51A"/>
    <w:lvl w:ilvl="0">
      <w:start w:val="1"/>
      <w:numFmt w:val="decimal"/>
      <w:lvlText w:val="%1."/>
      <w:lvlJc w:val="left"/>
      <w:pPr>
        <w:ind w:left="360" w:hanging="360"/>
      </w:pPr>
      <w:rPr>
        <w:rFonts w:hint="default"/>
      </w:rPr>
    </w:lvl>
    <w:lvl w:ilv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71005DC3"/>
    <w:multiLevelType w:val="hybridMultilevel"/>
    <w:tmpl w:val="BAF249B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7D340CB8"/>
    <w:multiLevelType w:val="hybridMultilevel"/>
    <w:tmpl w:val="27E4C25C"/>
    <w:lvl w:ilvl="0" w:tplc="2E9C5B18">
      <w:start w:val="4"/>
      <w:numFmt w:val="bullet"/>
      <w:lvlText w:val="-"/>
      <w:lvlJc w:val="left"/>
      <w:pPr>
        <w:ind w:left="360" w:hanging="360"/>
      </w:pPr>
      <w:rPr>
        <w:rFonts w:ascii="Times New Roman" w:eastAsiaTheme="minorHAnsi" w:hAnsi="Times New Roman" w:cs="Times New Roman"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16cid:durableId="1632129393">
    <w:abstractNumId w:val="4"/>
  </w:num>
  <w:num w:numId="2" w16cid:durableId="1215191818">
    <w:abstractNumId w:val="3"/>
  </w:num>
  <w:num w:numId="3" w16cid:durableId="1369914642">
    <w:abstractNumId w:val="1"/>
  </w:num>
  <w:num w:numId="4" w16cid:durableId="1439375713">
    <w:abstractNumId w:val="2"/>
  </w:num>
  <w:num w:numId="5" w16cid:durableId="245188410">
    <w:abstractNumId w:val="5"/>
  </w:num>
  <w:num w:numId="6" w16cid:durableId="1763841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38"/>
  <w:hideSpellingErrors/>
  <w:hideGrammaticalErrors/>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c0NzQxNTc0Mre0sDRU0lEKTi0uzszPAykwtKgFAMmnzr8tAAAA"/>
  </w:docVars>
  <w:rsids>
    <w:rsidRoot w:val="005B2D58"/>
    <w:rsid w:val="000306CD"/>
    <w:rsid w:val="00072D2F"/>
    <w:rsid w:val="000805BF"/>
    <w:rsid w:val="000B2705"/>
    <w:rsid w:val="00195EDA"/>
    <w:rsid w:val="001A1B09"/>
    <w:rsid w:val="001A6761"/>
    <w:rsid w:val="001A7678"/>
    <w:rsid w:val="001C41E0"/>
    <w:rsid w:val="00227134"/>
    <w:rsid w:val="002E3252"/>
    <w:rsid w:val="002F7809"/>
    <w:rsid w:val="00367F69"/>
    <w:rsid w:val="003A2B44"/>
    <w:rsid w:val="003D48F2"/>
    <w:rsid w:val="003D7E83"/>
    <w:rsid w:val="003E6E4A"/>
    <w:rsid w:val="0042338E"/>
    <w:rsid w:val="00425BAE"/>
    <w:rsid w:val="0045329A"/>
    <w:rsid w:val="004D0FBC"/>
    <w:rsid w:val="004E61EC"/>
    <w:rsid w:val="005044C1"/>
    <w:rsid w:val="00512065"/>
    <w:rsid w:val="0052272E"/>
    <w:rsid w:val="005259D8"/>
    <w:rsid w:val="00582658"/>
    <w:rsid w:val="005B2D58"/>
    <w:rsid w:val="005B3B89"/>
    <w:rsid w:val="005C3CED"/>
    <w:rsid w:val="005E18B7"/>
    <w:rsid w:val="005E710F"/>
    <w:rsid w:val="005F3F4B"/>
    <w:rsid w:val="006158F5"/>
    <w:rsid w:val="006253FC"/>
    <w:rsid w:val="00657D05"/>
    <w:rsid w:val="00693356"/>
    <w:rsid w:val="006967EC"/>
    <w:rsid w:val="007102BE"/>
    <w:rsid w:val="007354BD"/>
    <w:rsid w:val="007829A5"/>
    <w:rsid w:val="008971B8"/>
    <w:rsid w:val="00935352"/>
    <w:rsid w:val="0094795A"/>
    <w:rsid w:val="00967553"/>
    <w:rsid w:val="00987EE1"/>
    <w:rsid w:val="009943C3"/>
    <w:rsid w:val="009C2115"/>
    <w:rsid w:val="009E4CE7"/>
    <w:rsid w:val="009E5062"/>
    <w:rsid w:val="00A03F1E"/>
    <w:rsid w:val="00A13525"/>
    <w:rsid w:val="00A17BB1"/>
    <w:rsid w:val="00A62DB6"/>
    <w:rsid w:val="00A67D6C"/>
    <w:rsid w:val="00AA3926"/>
    <w:rsid w:val="00AD43AE"/>
    <w:rsid w:val="00AE66D3"/>
    <w:rsid w:val="00B017EB"/>
    <w:rsid w:val="00B3765A"/>
    <w:rsid w:val="00B5450A"/>
    <w:rsid w:val="00BB01E1"/>
    <w:rsid w:val="00BC265B"/>
    <w:rsid w:val="00BD23D4"/>
    <w:rsid w:val="00C51D55"/>
    <w:rsid w:val="00CB509C"/>
    <w:rsid w:val="00D15FC7"/>
    <w:rsid w:val="00D24EDD"/>
    <w:rsid w:val="00D648F4"/>
    <w:rsid w:val="00DA5A3B"/>
    <w:rsid w:val="00E43E28"/>
    <w:rsid w:val="00E56945"/>
    <w:rsid w:val="00EB3286"/>
    <w:rsid w:val="00EB3C64"/>
    <w:rsid w:val="00EE1B0C"/>
    <w:rsid w:val="00F27ED9"/>
    <w:rsid w:val="00F42FD6"/>
    <w:rsid w:val="00F967F4"/>
    <w:rsid w:val="00FA56A5"/>
    <w:rsid w:val="00FC3262"/>
    <w:rsid w:val="00FE04BE"/>
    <w:rsid w:val="00FE6F66"/>
    <w:rsid w:val="00FF5A3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CCEDE8"/>
  <w15:chartTrackingRefBased/>
  <w15:docId w15:val="{BD6D49C5-BA75-493D-A913-C407298C71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CB509C"/>
    <w:pPr>
      <w:keepNext/>
      <w:keepLines/>
      <w:spacing w:before="120" w:after="0" w:line="480" w:lineRule="auto"/>
      <w:jc w:val="center"/>
      <w:outlineLvl w:val="0"/>
    </w:pPr>
    <w:rPr>
      <w:rFonts w:ascii="Times New Roman" w:eastAsiaTheme="majorEastAsia" w:hAnsi="Times New Roman" w:cstheme="majorBidi"/>
      <w:b/>
      <w:sz w:val="28"/>
      <w:szCs w:val="32"/>
    </w:rPr>
  </w:style>
  <w:style w:type="paragraph" w:styleId="Heading2">
    <w:name w:val="heading 2"/>
    <w:basedOn w:val="Normal"/>
    <w:next w:val="Normal"/>
    <w:link w:val="Heading2Char"/>
    <w:uiPriority w:val="9"/>
    <w:semiHidden/>
    <w:unhideWhenUsed/>
    <w:qFormat/>
    <w:rsid w:val="00CB509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CB509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B01E1"/>
    <w:pPr>
      <w:ind w:left="720"/>
      <w:contextualSpacing/>
    </w:pPr>
  </w:style>
  <w:style w:type="paragraph" w:styleId="Caption">
    <w:name w:val="caption"/>
    <w:basedOn w:val="Normal"/>
    <w:next w:val="Normal"/>
    <w:uiPriority w:val="35"/>
    <w:unhideWhenUsed/>
    <w:qFormat/>
    <w:rsid w:val="00BB01E1"/>
    <w:pPr>
      <w:spacing w:after="200" w:line="240" w:lineRule="auto"/>
    </w:pPr>
    <w:rPr>
      <w:i/>
      <w:iCs/>
      <w:color w:val="44546A" w:themeColor="text2"/>
      <w:sz w:val="18"/>
      <w:szCs w:val="18"/>
    </w:rPr>
  </w:style>
  <w:style w:type="table" w:styleId="TableGrid">
    <w:name w:val="Table Grid"/>
    <w:basedOn w:val="TableNormal"/>
    <w:uiPriority w:val="59"/>
    <w:rsid w:val="00BB01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C2115"/>
    <w:pPr>
      <w:tabs>
        <w:tab w:val="center" w:pos="4536"/>
        <w:tab w:val="right" w:pos="9072"/>
      </w:tabs>
      <w:spacing w:after="0" w:line="240" w:lineRule="auto"/>
    </w:pPr>
  </w:style>
  <w:style w:type="character" w:customStyle="1" w:styleId="HeaderChar">
    <w:name w:val="Header Char"/>
    <w:basedOn w:val="DefaultParagraphFont"/>
    <w:link w:val="Header"/>
    <w:uiPriority w:val="99"/>
    <w:rsid w:val="009C2115"/>
    <w:rPr>
      <w:lang w:val="en-US"/>
    </w:rPr>
  </w:style>
  <w:style w:type="paragraph" w:styleId="Footer">
    <w:name w:val="footer"/>
    <w:basedOn w:val="Normal"/>
    <w:link w:val="FooterChar"/>
    <w:uiPriority w:val="99"/>
    <w:unhideWhenUsed/>
    <w:rsid w:val="009C2115"/>
    <w:pPr>
      <w:tabs>
        <w:tab w:val="center" w:pos="4536"/>
        <w:tab w:val="right" w:pos="9072"/>
      </w:tabs>
      <w:spacing w:after="0" w:line="240" w:lineRule="auto"/>
    </w:pPr>
  </w:style>
  <w:style w:type="character" w:customStyle="1" w:styleId="FooterChar">
    <w:name w:val="Footer Char"/>
    <w:basedOn w:val="DefaultParagraphFont"/>
    <w:link w:val="Footer"/>
    <w:uiPriority w:val="99"/>
    <w:rsid w:val="009C2115"/>
    <w:rPr>
      <w:lang w:val="en-US"/>
    </w:rPr>
  </w:style>
  <w:style w:type="character" w:customStyle="1" w:styleId="Heading1Char">
    <w:name w:val="Heading 1 Char"/>
    <w:basedOn w:val="DefaultParagraphFont"/>
    <w:link w:val="Heading1"/>
    <w:uiPriority w:val="9"/>
    <w:rsid w:val="00CB509C"/>
    <w:rPr>
      <w:rFonts w:ascii="Times New Roman" w:eastAsiaTheme="majorEastAsia" w:hAnsi="Times New Roman" w:cstheme="majorBidi"/>
      <w:b/>
      <w:sz w:val="28"/>
      <w:szCs w:val="32"/>
      <w:lang w:val="en-US"/>
    </w:rPr>
  </w:style>
  <w:style w:type="character" w:customStyle="1" w:styleId="Heading2Char">
    <w:name w:val="Heading 2 Char"/>
    <w:basedOn w:val="DefaultParagraphFont"/>
    <w:link w:val="Heading2"/>
    <w:uiPriority w:val="9"/>
    <w:semiHidden/>
    <w:rsid w:val="00CB509C"/>
    <w:rPr>
      <w:rFonts w:asciiTheme="majorHAnsi" w:eastAsiaTheme="majorEastAsia" w:hAnsiTheme="majorHAnsi" w:cstheme="majorBidi"/>
      <w:color w:val="2F5496" w:themeColor="accent1" w:themeShade="BF"/>
      <w:sz w:val="26"/>
      <w:szCs w:val="26"/>
      <w:lang w:val="en-US"/>
    </w:rPr>
  </w:style>
  <w:style w:type="character" w:customStyle="1" w:styleId="Heading3Char">
    <w:name w:val="Heading 3 Char"/>
    <w:basedOn w:val="DefaultParagraphFont"/>
    <w:link w:val="Heading3"/>
    <w:uiPriority w:val="9"/>
    <w:semiHidden/>
    <w:rsid w:val="00CB509C"/>
    <w:rPr>
      <w:rFonts w:asciiTheme="majorHAnsi" w:eastAsiaTheme="majorEastAsia" w:hAnsiTheme="majorHAnsi" w:cstheme="majorBidi"/>
      <w:color w:val="1F3763" w:themeColor="accent1" w:themeShade="7F"/>
      <w:sz w:val="24"/>
      <w:szCs w:val="24"/>
      <w:lang w:val="en-US"/>
    </w:rPr>
  </w:style>
  <w:style w:type="paragraph" w:styleId="ListBullet">
    <w:name w:val="List Bullet"/>
    <w:basedOn w:val="Normal"/>
    <w:uiPriority w:val="99"/>
    <w:unhideWhenUsed/>
    <w:rsid w:val="007829A5"/>
    <w:pPr>
      <w:numPr>
        <w:numId w:val="6"/>
      </w:numPr>
      <w:contextualSpacing/>
    </w:pPr>
  </w:style>
  <w:style w:type="paragraph" w:styleId="Revision">
    <w:name w:val="Revision"/>
    <w:hidden/>
    <w:uiPriority w:val="99"/>
    <w:semiHidden/>
    <w:rsid w:val="001A6761"/>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1486A2-22BF-412E-BB96-4574A2360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17287</Words>
  <Characters>104242</Characters>
  <Application>Microsoft Office Word</Application>
  <DocSecurity>0</DocSecurity>
  <Lines>2481</Lines>
  <Paragraphs>1135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nutzer</dc:creator>
  <cp:keywords/>
  <dc:description/>
  <cp:lastModifiedBy>John Maher</cp:lastModifiedBy>
  <cp:revision>2</cp:revision>
  <dcterms:created xsi:type="dcterms:W3CDTF">2025-12-09T13:27:00Z</dcterms:created>
  <dcterms:modified xsi:type="dcterms:W3CDTF">2025-12-09T13:27:00Z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9th edition</vt:lpwstr>
  </property>
</Properties>
</file>