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E54AB" w14:textId="48791E77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14:paraId="72664961" w14:textId="022FBEC1" w:rsidR="00C90941" w:rsidRDefault="00C90941" w:rsidP="0001436A">
      <w:pPr>
        <w:pStyle w:val="AuthorList"/>
        <w:rPr>
          <w:sz w:val="32"/>
          <w:szCs w:val="32"/>
        </w:rPr>
      </w:pPr>
      <w:r w:rsidRPr="00C90941">
        <w:rPr>
          <w:sz w:val="32"/>
          <w:szCs w:val="32"/>
        </w:rPr>
        <w:t xml:space="preserve">Role of </w:t>
      </w:r>
      <w:proofErr w:type="spellStart"/>
      <w:r w:rsidRPr="00C90941">
        <w:rPr>
          <w:sz w:val="32"/>
          <w:szCs w:val="32"/>
        </w:rPr>
        <w:t>homovanillic</w:t>
      </w:r>
      <w:proofErr w:type="spellEnd"/>
      <w:r w:rsidRPr="00C90941">
        <w:rPr>
          <w:sz w:val="32"/>
          <w:szCs w:val="32"/>
        </w:rPr>
        <w:t xml:space="preserve"> acid esters in the regulation of skin inflammatory pathways and their effect on tight junction protein expression</w:t>
      </w:r>
    </w:p>
    <w:p w14:paraId="7B01FFA9" w14:textId="0478D68B" w:rsidR="00C90941" w:rsidRPr="00B07040" w:rsidRDefault="00C90941" w:rsidP="00C90941">
      <w:pPr>
        <w:pStyle w:val="AuthorList"/>
        <w:rPr>
          <w:lang w:val="de-DE"/>
        </w:rPr>
      </w:pPr>
      <w:r w:rsidRPr="00B07040">
        <w:rPr>
          <w:lang w:val="de-DE"/>
        </w:rPr>
        <w:t>Maria Fernanda Cervantes Recalde</w:t>
      </w:r>
      <w:r w:rsidRPr="00B07040">
        <w:rPr>
          <w:vertAlign w:val="superscript"/>
          <w:lang w:val="de-DE"/>
        </w:rPr>
        <w:t>1,2</w:t>
      </w:r>
      <w:r w:rsidRPr="00B07040">
        <w:rPr>
          <w:lang w:val="de-DE"/>
        </w:rPr>
        <w:t xml:space="preserve">, Elena </w:t>
      </w:r>
      <w:r w:rsidR="00C669D9" w:rsidRPr="00B07040">
        <w:rPr>
          <w:lang w:val="de-DE"/>
        </w:rPr>
        <w:t xml:space="preserve">Zoe </w:t>
      </w:r>
      <w:r w:rsidRPr="00B07040">
        <w:rPr>
          <w:lang w:val="de-DE"/>
        </w:rPr>
        <w:t>Bogensperger</w:t>
      </w:r>
      <w:r w:rsidRPr="00B07040">
        <w:rPr>
          <w:vertAlign w:val="superscript"/>
          <w:lang w:val="de-DE"/>
        </w:rPr>
        <w:t>1</w:t>
      </w:r>
      <w:r w:rsidRPr="00B07040">
        <w:rPr>
          <w:lang w:val="de-DE"/>
        </w:rPr>
        <w:t>, Joachim Hans</w:t>
      </w:r>
      <w:r w:rsidRPr="00B07040">
        <w:rPr>
          <w:vertAlign w:val="superscript"/>
          <w:lang w:val="de-DE"/>
        </w:rPr>
        <w:t>3</w:t>
      </w:r>
      <w:r w:rsidRPr="00B07040">
        <w:rPr>
          <w:lang w:val="de-DE"/>
        </w:rPr>
        <w:t>, Dominik Stuhlman</w:t>
      </w:r>
      <w:r w:rsidR="00A615BE">
        <w:rPr>
          <w:lang w:val="de-DE"/>
        </w:rPr>
        <w:t>n</w:t>
      </w:r>
      <w:r w:rsidRPr="00B07040">
        <w:rPr>
          <w:vertAlign w:val="superscript"/>
          <w:lang w:val="de-DE"/>
        </w:rPr>
        <w:t>3</w:t>
      </w:r>
      <w:r w:rsidRPr="00B07040">
        <w:rPr>
          <w:lang w:val="de-DE"/>
        </w:rPr>
        <w:t>, Veronika Somoza</w:t>
      </w:r>
      <w:r w:rsidRPr="00B07040">
        <w:rPr>
          <w:vertAlign w:val="superscript"/>
          <w:lang w:val="de-DE"/>
        </w:rPr>
        <w:t>1,4</w:t>
      </w:r>
      <w:r w:rsidRPr="00B07040">
        <w:rPr>
          <w:lang w:val="de-DE"/>
        </w:rPr>
        <w:t>, Barbara Lieder</w:t>
      </w:r>
      <w:r w:rsidRPr="00B07040">
        <w:rPr>
          <w:vertAlign w:val="superscript"/>
          <w:lang w:val="de-DE"/>
        </w:rPr>
        <w:t>1,</w:t>
      </w:r>
      <w:r w:rsidR="00F66893" w:rsidRPr="00B07040">
        <w:rPr>
          <w:vertAlign w:val="superscript"/>
          <w:lang w:val="de-DE"/>
        </w:rPr>
        <w:t>5</w:t>
      </w:r>
      <w:r w:rsidRPr="00B07040">
        <w:rPr>
          <w:vertAlign w:val="superscript"/>
          <w:lang w:val="de-DE"/>
        </w:rPr>
        <w:t>*</w:t>
      </w:r>
    </w:p>
    <w:p w14:paraId="16B9E76D" w14:textId="3F80E816" w:rsidR="00C90941" w:rsidRPr="00376CC5" w:rsidRDefault="00C90941" w:rsidP="00C90941">
      <w:pPr>
        <w:spacing w:before="240" w:after="0"/>
        <w:rPr>
          <w:rFonts w:cs="Times New Roman"/>
          <w:b/>
          <w:szCs w:val="24"/>
        </w:rPr>
      </w:pPr>
      <w:r w:rsidRPr="00376CC5">
        <w:rPr>
          <w:rFonts w:cs="Times New Roman"/>
          <w:szCs w:val="24"/>
          <w:vertAlign w:val="superscript"/>
        </w:rPr>
        <w:t>1</w:t>
      </w:r>
      <w:r w:rsidR="00A615BE">
        <w:rPr>
          <w:rFonts w:cs="Times New Roman"/>
          <w:szCs w:val="24"/>
        </w:rPr>
        <w:t>Institute</w:t>
      </w:r>
      <w:r>
        <w:rPr>
          <w:rFonts w:cs="Times New Roman"/>
          <w:szCs w:val="24"/>
        </w:rPr>
        <w:t xml:space="preserve"> of Physiological Chemistry</w:t>
      </w:r>
      <w:r w:rsidRPr="00376CC5">
        <w:rPr>
          <w:rFonts w:cs="Times New Roman"/>
          <w:szCs w:val="24"/>
        </w:rPr>
        <w:t xml:space="preserve">, </w:t>
      </w:r>
      <w:r>
        <w:rPr>
          <w:rFonts w:cs="Times New Roman"/>
          <w:szCs w:val="24"/>
        </w:rPr>
        <w:t>Faculty of Chemistry,</w:t>
      </w:r>
      <w:r w:rsidRPr="00376CC5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University of Vienna, Vienna, Austria</w:t>
      </w:r>
      <w:r w:rsidRPr="00376CC5">
        <w:rPr>
          <w:rFonts w:cs="Times New Roman"/>
          <w:szCs w:val="24"/>
        </w:rPr>
        <w:t xml:space="preserve"> </w:t>
      </w:r>
    </w:p>
    <w:p w14:paraId="74F0078D" w14:textId="07B8D37B" w:rsidR="00C90941" w:rsidRDefault="00C90941" w:rsidP="00C90941">
      <w:pPr>
        <w:spacing w:after="0"/>
        <w:rPr>
          <w:rFonts w:cs="Times New Roman"/>
          <w:szCs w:val="24"/>
        </w:rPr>
      </w:pPr>
      <w:r w:rsidRPr="00376CC5">
        <w:rPr>
          <w:rFonts w:cs="Times New Roman"/>
          <w:szCs w:val="24"/>
          <w:vertAlign w:val="superscript"/>
        </w:rPr>
        <w:t>2</w:t>
      </w:r>
      <w:r>
        <w:rPr>
          <w:rFonts w:cs="Times New Roman"/>
          <w:szCs w:val="24"/>
        </w:rPr>
        <w:t>Vienna Doctoral School in Chemistry (</w:t>
      </w:r>
      <w:proofErr w:type="spellStart"/>
      <w:r>
        <w:rPr>
          <w:rFonts w:cs="Times New Roman"/>
          <w:szCs w:val="24"/>
        </w:rPr>
        <w:t>DoSChem</w:t>
      </w:r>
      <w:proofErr w:type="spellEnd"/>
      <w:r>
        <w:rPr>
          <w:rFonts w:cs="Times New Roman"/>
          <w:szCs w:val="24"/>
        </w:rPr>
        <w:t>)</w:t>
      </w:r>
      <w:r w:rsidRPr="00376CC5">
        <w:rPr>
          <w:rFonts w:cs="Times New Roman"/>
          <w:szCs w:val="24"/>
        </w:rPr>
        <w:t xml:space="preserve">, </w:t>
      </w:r>
      <w:r>
        <w:rPr>
          <w:rFonts w:cs="Times New Roman"/>
          <w:szCs w:val="24"/>
        </w:rPr>
        <w:t>University of Vienna</w:t>
      </w:r>
      <w:r w:rsidRPr="00816AFF">
        <w:rPr>
          <w:rFonts w:cs="Times New Roman"/>
          <w:szCs w:val="24"/>
        </w:rPr>
        <w:t xml:space="preserve">, </w:t>
      </w:r>
      <w:r>
        <w:rPr>
          <w:rFonts w:cs="Times New Roman"/>
          <w:szCs w:val="24"/>
        </w:rPr>
        <w:t>Vienna, Austria</w:t>
      </w:r>
    </w:p>
    <w:p w14:paraId="375EACF3" w14:textId="7442DED8" w:rsidR="00C90941" w:rsidRPr="009128F2" w:rsidRDefault="00C90941" w:rsidP="00C90941">
      <w:pPr>
        <w:spacing w:after="0"/>
        <w:rPr>
          <w:rFonts w:cs="Times New Roman"/>
          <w:szCs w:val="24"/>
        </w:rPr>
      </w:pPr>
      <w:r w:rsidRPr="009128F2">
        <w:rPr>
          <w:rFonts w:cs="Times New Roman"/>
          <w:szCs w:val="24"/>
          <w:vertAlign w:val="superscript"/>
        </w:rPr>
        <w:t>3</w:t>
      </w:r>
      <w:r w:rsidRPr="009128F2">
        <w:rPr>
          <w:rFonts w:cs="Times New Roman"/>
          <w:szCs w:val="24"/>
        </w:rPr>
        <w:t xml:space="preserve">Symrise AG, </w:t>
      </w:r>
      <w:proofErr w:type="spellStart"/>
      <w:r w:rsidRPr="009128F2">
        <w:rPr>
          <w:rFonts w:cs="Times New Roman"/>
          <w:szCs w:val="24"/>
        </w:rPr>
        <w:t>Muehlenfeldstrasse</w:t>
      </w:r>
      <w:proofErr w:type="spellEnd"/>
      <w:r w:rsidRPr="009128F2">
        <w:rPr>
          <w:rFonts w:cs="Times New Roman"/>
          <w:szCs w:val="24"/>
        </w:rPr>
        <w:t xml:space="preserve"> 1, </w:t>
      </w:r>
      <w:proofErr w:type="spellStart"/>
      <w:r w:rsidRPr="009128F2">
        <w:rPr>
          <w:rFonts w:cs="Times New Roman"/>
          <w:szCs w:val="24"/>
        </w:rPr>
        <w:t>Holzminden</w:t>
      </w:r>
      <w:proofErr w:type="spellEnd"/>
      <w:r w:rsidRPr="009128F2">
        <w:rPr>
          <w:rFonts w:cs="Times New Roman"/>
          <w:szCs w:val="24"/>
        </w:rPr>
        <w:t>, Germany</w:t>
      </w:r>
    </w:p>
    <w:p w14:paraId="461DC284" w14:textId="77777777" w:rsidR="00C90941" w:rsidRDefault="00C90941" w:rsidP="00C90941">
      <w:pPr>
        <w:spacing w:after="0"/>
        <w:rPr>
          <w:rFonts w:cs="Times New Roman"/>
          <w:szCs w:val="24"/>
        </w:rPr>
      </w:pPr>
      <w:r>
        <w:rPr>
          <w:rFonts w:cs="Times New Roman"/>
          <w:szCs w:val="24"/>
          <w:vertAlign w:val="superscript"/>
        </w:rPr>
        <w:t>4</w:t>
      </w:r>
      <w:r w:rsidRPr="00542DCB">
        <w:rPr>
          <w:rFonts w:cs="Times New Roman"/>
          <w:szCs w:val="24"/>
        </w:rPr>
        <w:t>Leibniz Institute of Food S</w:t>
      </w:r>
      <w:r>
        <w:rPr>
          <w:rFonts w:cs="Times New Roman"/>
          <w:szCs w:val="24"/>
        </w:rPr>
        <w:t xml:space="preserve">ystems Biology, Technical University of Munich, Freising, Germany </w:t>
      </w:r>
    </w:p>
    <w:p w14:paraId="7EBC0C6E" w14:textId="77777777" w:rsidR="00C90941" w:rsidRPr="00542DCB" w:rsidRDefault="00C90941" w:rsidP="00C90941">
      <w:pPr>
        <w:spacing w:after="0"/>
        <w:rPr>
          <w:rFonts w:cs="Times New Roman"/>
          <w:b/>
          <w:szCs w:val="24"/>
        </w:rPr>
      </w:pPr>
      <w:r w:rsidRPr="00816AFF">
        <w:rPr>
          <w:rFonts w:cs="Times New Roman"/>
          <w:szCs w:val="24"/>
          <w:vertAlign w:val="superscript"/>
        </w:rPr>
        <w:t>5</w:t>
      </w:r>
      <w:r>
        <w:rPr>
          <w:rFonts w:cs="Times New Roman"/>
          <w:szCs w:val="24"/>
        </w:rPr>
        <w:t>University of Hohenheim, Institute of Clinical Nutrition, Stuttgart, Germany</w:t>
      </w:r>
    </w:p>
    <w:p w14:paraId="0F35C6EF" w14:textId="0B5FEB19" w:rsidR="00C90941" w:rsidRPr="00542DCB" w:rsidRDefault="00C90941" w:rsidP="00C90941">
      <w:pPr>
        <w:spacing w:before="240" w:after="0"/>
        <w:rPr>
          <w:rFonts w:cs="Times New Roman"/>
          <w:b/>
          <w:szCs w:val="24"/>
        </w:rPr>
      </w:pPr>
      <w:r w:rsidRPr="00542DCB">
        <w:rPr>
          <w:rFonts w:cs="Times New Roman"/>
          <w:b/>
          <w:szCs w:val="24"/>
        </w:rPr>
        <w:t xml:space="preserve">* Correspondence: </w:t>
      </w:r>
      <w:r w:rsidRPr="00542DCB">
        <w:rPr>
          <w:rFonts w:cs="Times New Roman"/>
          <w:b/>
          <w:szCs w:val="24"/>
        </w:rPr>
        <w:br/>
      </w:r>
      <w:r w:rsidRPr="00542DCB">
        <w:rPr>
          <w:rFonts w:cs="Times New Roman"/>
          <w:szCs w:val="24"/>
        </w:rPr>
        <w:t>Corresponding Author</w:t>
      </w:r>
      <w:r w:rsidRPr="00542DCB">
        <w:rPr>
          <w:rFonts w:cs="Times New Roman"/>
          <w:szCs w:val="24"/>
        </w:rPr>
        <w:br/>
        <w:t>Barbara.Lieder@</w:t>
      </w:r>
      <w:r w:rsidR="00B07040">
        <w:rPr>
          <w:rFonts w:cs="Times New Roman"/>
          <w:szCs w:val="24"/>
        </w:rPr>
        <w:t>uni-hohenheim.de</w:t>
      </w:r>
    </w:p>
    <w:p w14:paraId="1D1D72C1" w14:textId="65698EB4" w:rsidR="00C90941" w:rsidRPr="00376CC5" w:rsidRDefault="00C90941" w:rsidP="00C90941">
      <w:pPr>
        <w:pStyle w:val="AuthorList"/>
      </w:pPr>
      <w:r w:rsidRPr="00376CC5">
        <w:t xml:space="preserve">Keywords: </w:t>
      </w:r>
      <w:r>
        <w:t>skin</w:t>
      </w:r>
      <w:r w:rsidRPr="00376CC5">
        <w:t xml:space="preserve">, </w:t>
      </w:r>
      <w:r>
        <w:t>inflammation</w:t>
      </w:r>
      <w:r w:rsidRPr="00376CC5">
        <w:t xml:space="preserve">, </w:t>
      </w:r>
      <w:r>
        <w:t>TRPV1</w:t>
      </w:r>
      <w:r w:rsidRPr="00376CC5">
        <w:rPr>
          <w:vertAlign w:val="subscript"/>
        </w:rPr>
        <w:t>3</w:t>
      </w:r>
      <w:r w:rsidRPr="00376CC5">
        <w:t xml:space="preserve">, </w:t>
      </w:r>
      <w:r>
        <w:t>claudin 1</w:t>
      </w:r>
      <w:r w:rsidR="00A615BE">
        <w:t xml:space="preserve">, </w:t>
      </w:r>
      <w:proofErr w:type="spellStart"/>
      <w:r w:rsidR="00A615BE">
        <w:t>homovanillic</w:t>
      </w:r>
      <w:proofErr w:type="spellEnd"/>
      <w:r w:rsidR="00A615BE">
        <w:t xml:space="preserve"> acid ester</w:t>
      </w:r>
    </w:p>
    <w:p w14:paraId="78A71EBF" w14:textId="685B6573" w:rsidR="00C90941" w:rsidRDefault="00C90941">
      <w:pPr>
        <w:spacing w:before="0" w:after="200" w:line="276" w:lineRule="auto"/>
        <w:rPr>
          <w:rFonts w:cs="Times New Roman"/>
        </w:rPr>
      </w:pPr>
      <w:r>
        <w:rPr>
          <w:rFonts w:cs="Times New Roman"/>
        </w:rPr>
        <w:br w:type="page"/>
      </w:r>
    </w:p>
    <w:p w14:paraId="78B60FEA" w14:textId="08A8F1C0" w:rsidR="001062FD" w:rsidRDefault="00325D5F" w:rsidP="00E91EC0">
      <w:pPr>
        <w:rPr>
          <w:rFonts w:eastAsia="Cambria" w:cs="Times New Roman"/>
          <w:b/>
          <w:szCs w:val="24"/>
        </w:rPr>
      </w:pPr>
      <w:r>
        <w:rPr>
          <w:rFonts w:eastAsia="Cambria" w:cs="Times New Roman"/>
          <w:b/>
          <w:szCs w:val="24"/>
        </w:rPr>
        <w:lastRenderedPageBreak/>
        <w:t>1</w:t>
      </w:r>
      <w:r w:rsidR="001062FD" w:rsidRPr="001062FD">
        <w:rPr>
          <w:rFonts w:eastAsia="Cambria" w:cs="Times New Roman"/>
          <w:b/>
          <w:szCs w:val="24"/>
        </w:rPr>
        <w:tab/>
        <w:t>Supplementary Figures</w:t>
      </w:r>
    </w:p>
    <w:p w14:paraId="3438A1E7" w14:textId="212B1A01" w:rsidR="00F00F7B" w:rsidRDefault="006F5FC2" w:rsidP="006F5FC2">
      <w:pPr>
        <w:tabs>
          <w:tab w:val="left" w:pos="3765"/>
        </w:tabs>
        <w:spacing w:before="0" w:after="200" w:line="276" w:lineRule="auto"/>
        <w:rPr>
          <w:rFonts w:eastAsia="Times New Roman" w:cs="Times New Roman"/>
          <w:szCs w:val="24"/>
          <w:lang w:val="en-GB" w:eastAsia="en-GB"/>
        </w:rPr>
      </w:pPr>
      <w:r>
        <w:rPr>
          <w:rFonts w:eastAsia="Times New Roman" w:cs="Times New Roman"/>
          <w:szCs w:val="24"/>
          <w:lang w:val="en-GB" w:eastAsia="en-GB"/>
        </w:rPr>
        <w:tab/>
      </w:r>
    </w:p>
    <w:p w14:paraId="5A50DAF9" w14:textId="57E10866" w:rsidR="006F5FC2" w:rsidRDefault="006F5FC2">
      <w:pPr>
        <w:spacing w:before="0" w:after="200" w:line="276" w:lineRule="auto"/>
        <w:rPr>
          <w:rFonts w:eastAsia="Times New Roman" w:cs="Times New Roman"/>
          <w:szCs w:val="24"/>
          <w:lang w:val="en-GB" w:eastAsia="en-GB"/>
        </w:rPr>
      </w:pPr>
    </w:p>
    <w:p w14:paraId="437A2740" w14:textId="5612EBA9" w:rsidR="00E91EC0" w:rsidRDefault="00DA28FC" w:rsidP="000E3F32">
      <w:pPr>
        <w:spacing w:after="0"/>
        <w:jc w:val="center"/>
        <w:rPr>
          <w:rFonts w:eastAsia="Times New Roman" w:cs="Times New Roman"/>
          <w:szCs w:val="24"/>
          <w:lang w:val="en-GB" w:eastAsia="en-GB"/>
        </w:rPr>
      </w:pPr>
      <w:r>
        <w:rPr>
          <w:rFonts w:eastAsia="Times New Roman" w:cs="Times New Roman"/>
          <w:noProof/>
          <w:szCs w:val="24"/>
          <w:lang w:val="en-GB" w:eastAsia="en-GB"/>
        </w:rPr>
        <w:drawing>
          <wp:inline distT="0" distB="0" distL="0" distR="0" wp14:anchorId="2EE7A82F" wp14:editId="7896C958">
            <wp:extent cx="4826442" cy="3410894"/>
            <wp:effectExtent l="0" t="0" r="0" b="0"/>
            <wp:docPr id="479750312" name="Picture 3" descr="A white line on a black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9750312" name="Picture 3" descr="A white line on a black background&#10;&#10;AI-generated content may be incorrect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33081" cy="3415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40A634" w14:textId="77777777" w:rsidR="00E91EC0" w:rsidRDefault="00E91EC0" w:rsidP="00E91EC0">
      <w:pPr>
        <w:spacing w:after="0"/>
        <w:jc w:val="center"/>
        <w:rPr>
          <w:rFonts w:eastAsia="Times New Roman" w:cs="Times New Roman"/>
          <w:szCs w:val="24"/>
          <w:lang w:val="en-GB" w:eastAsia="en-GB"/>
        </w:rPr>
      </w:pPr>
    </w:p>
    <w:p w14:paraId="0B34FE92" w14:textId="6CCC00FD" w:rsidR="00D371D5" w:rsidRDefault="00E91EC0" w:rsidP="00E91EC0">
      <w:r w:rsidRPr="00A227C2">
        <w:t>FIGURE S</w:t>
      </w:r>
      <w:r w:rsidR="00934967">
        <w:t>1</w:t>
      </w:r>
      <w:r w:rsidRPr="00A227C2">
        <w:t xml:space="preserve">. </w:t>
      </w:r>
      <w:r w:rsidR="004634A7" w:rsidRPr="006F5FC2">
        <w:rPr>
          <w:rFonts w:eastAsia="Times New Roman" w:cs="Times New Roman"/>
          <w:szCs w:val="24"/>
          <w:lang w:eastAsia="en-GB"/>
        </w:rPr>
        <w:t>C</w:t>
      </w:r>
      <w:r w:rsidR="004634A7">
        <w:rPr>
          <w:rFonts w:eastAsia="Times New Roman" w:cs="Times New Roman"/>
          <w:szCs w:val="24"/>
          <w:lang w:eastAsia="en-GB"/>
        </w:rPr>
        <w:t xml:space="preserve">ell viability assessment of </w:t>
      </w:r>
      <w:proofErr w:type="spellStart"/>
      <w:r w:rsidR="004634A7">
        <w:rPr>
          <w:rFonts w:eastAsia="Times New Roman" w:cs="Times New Roman"/>
          <w:szCs w:val="24"/>
          <w:lang w:eastAsia="en-GB"/>
        </w:rPr>
        <w:t>HaCaT</w:t>
      </w:r>
      <w:proofErr w:type="spellEnd"/>
      <w:r w:rsidR="004634A7">
        <w:rPr>
          <w:rFonts w:eastAsia="Times New Roman" w:cs="Times New Roman"/>
          <w:szCs w:val="24"/>
          <w:lang w:eastAsia="en-GB"/>
        </w:rPr>
        <w:t xml:space="preserve"> cells pre-treated with 10 µM of the different </w:t>
      </w:r>
      <w:proofErr w:type="spellStart"/>
      <w:r w:rsidR="004634A7">
        <w:rPr>
          <w:rFonts w:eastAsia="Times New Roman" w:cs="Times New Roman"/>
          <w:szCs w:val="24"/>
          <w:lang w:eastAsia="en-GB"/>
        </w:rPr>
        <w:t>homovanillic</w:t>
      </w:r>
      <w:proofErr w:type="spellEnd"/>
      <w:r w:rsidR="004634A7">
        <w:rPr>
          <w:rFonts w:eastAsia="Times New Roman" w:cs="Times New Roman"/>
          <w:szCs w:val="24"/>
          <w:lang w:eastAsia="en-GB"/>
        </w:rPr>
        <w:t xml:space="preserve"> acid esters for 24 h. No significant decrease in cell viability was observed after 24 h application of compounds </w:t>
      </w:r>
      <w:r w:rsidR="00DA28FC">
        <w:rPr>
          <w:rFonts w:eastAsia="Times New Roman" w:cs="Times New Roman"/>
          <w:b/>
          <w:bCs/>
          <w:szCs w:val="24"/>
          <w:lang w:eastAsia="en-GB"/>
        </w:rPr>
        <w:t>1</w:t>
      </w:r>
      <w:r w:rsidR="004634A7">
        <w:rPr>
          <w:rFonts w:eastAsia="Times New Roman" w:cs="Times New Roman"/>
          <w:szCs w:val="24"/>
          <w:lang w:eastAsia="en-GB"/>
        </w:rPr>
        <w:t>-</w:t>
      </w:r>
      <w:r w:rsidR="004634A7" w:rsidRPr="004634A7">
        <w:rPr>
          <w:rFonts w:eastAsia="Times New Roman" w:cs="Times New Roman"/>
          <w:b/>
          <w:bCs/>
          <w:szCs w:val="24"/>
          <w:lang w:eastAsia="en-GB"/>
        </w:rPr>
        <w:t>1</w:t>
      </w:r>
      <w:r w:rsidR="00DA28FC">
        <w:rPr>
          <w:rFonts w:eastAsia="Times New Roman" w:cs="Times New Roman"/>
          <w:b/>
          <w:bCs/>
          <w:szCs w:val="24"/>
          <w:lang w:eastAsia="en-GB"/>
        </w:rPr>
        <w:t>6</w:t>
      </w:r>
      <w:r w:rsidR="004634A7">
        <w:rPr>
          <w:rFonts w:eastAsia="Times New Roman" w:cs="Times New Roman"/>
          <w:szCs w:val="24"/>
          <w:lang w:eastAsia="en-GB"/>
        </w:rPr>
        <w:t xml:space="preserve"> (black). Data presented as percentage of the non-treated control (white). Dotted lines represent 100 % cell viability and the 70 % cut-off for assessing adverse effects on cell viability</w:t>
      </w:r>
      <w:r w:rsidR="00F04975">
        <w:rPr>
          <w:rFonts w:eastAsia="Times New Roman" w:cs="Times New Roman"/>
          <w:szCs w:val="24"/>
          <w:lang w:eastAsia="en-GB"/>
        </w:rPr>
        <w:t xml:space="preserve"> measured using an MTT assay</w:t>
      </w:r>
      <w:r w:rsidR="004634A7">
        <w:rPr>
          <w:rFonts w:eastAsia="Times New Roman" w:cs="Times New Roman"/>
          <w:szCs w:val="24"/>
          <w:lang w:eastAsia="en-GB"/>
        </w:rPr>
        <w:t>.</w:t>
      </w:r>
      <w:r w:rsidR="004634A7" w:rsidRPr="006F5FC2">
        <w:rPr>
          <w:rFonts w:eastAsia="Times New Roman" w:cs="Times New Roman"/>
          <w:szCs w:val="24"/>
          <w:lang w:eastAsia="en-GB"/>
        </w:rPr>
        <w:t xml:space="preserve"> </w:t>
      </w:r>
      <w:r w:rsidR="004634A7" w:rsidRPr="00A227C2">
        <w:t xml:space="preserve">(Statistics: mean + SEM; technical replicates: </w:t>
      </w:r>
      <w:r w:rsidR="004634A7">
        <w:t>4</w:t>
      </w:r>
      <w:r w:rsidR="004634A7" w:rsidRPr="00A227C2">
        <w:t xml:space="preserve">, biological replicates: </w:t>
      </w:r>
      <w:r w:rsidR="004634A7">
        <w:t>5</w:t>
      </w:r>
      <w:r w:rsidR="004634A7" w:rsidRPr="00A227C2">
        <w:t>,</w:t>
      </w:r>
      <w:r w:rsidR="004634A7">
        <w:t xml:space="preserve"> ordinary one-way ANOVA</w:t>
      </w:r>
      <w:r w:rsidR="004634A7" w:rsidRPr="00A227C2">
        <w:t>)</w:t>
      </w:r>
    </w:p>
    <w:p w14:paraId="5759CF64" w14:textId="77777777" w:rsidR="00D371D5" w:rsidRDefault="00D371D5">
      <w:pPr>
        <w:spacing w:before="0" w:after="200" w:line="276" w:lineRule="auto"/>
      </w:pPr>
      <w:r>
        <w:br w:type="page"/>
      </w:r>
    </w:p>
    <w:p w14:paraId="6DD32001" w14:textId="77777777" w:rsidR="00E91EC0" w:rsidRDefault="00E91EC0" w:rsidP="00E91EC0"/>
    <w:p w14:paraId="4818A0DE" w14:textId="2DAEC2F2" w:rsidR="006524D7" w:rsidRDefault="006524D7" w:rsidP="006524D7">
      <w:pPr>
        <w:jc w:val="center"/>
      </w:pPr>
      <w:r>
        <w:rPr>
          <w:noProof/>
        </w:rPr>
        <w:drawing>
          <wp:inline distT="0" distB="0" distL="0" distR="0" wp14:anchorId="24798E8A" wp14:editId="146649A9">
            <wp:extent cx="4662317" cy="2346960"/>
            <wp:effectExtent l="0" t="0" r="0" b="0"/>
            <wp:docPr id="950014731" name="Imagen 4" descr="Imagen que contiene Interfaz de usuario gráfic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0014731" name="Imagen 4" descr="Imagen que contiene Interfaz de usuario gráfica&#10;&#10;El contenido generado por IA puede ser incorrecto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69302" cy="2350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C707B3" w14:textId="77777777" w:rsidR="006524D7" w:rsidRDefault="006524D7" w:rsidP="00284684"/>
    <w:p w14:paraId="509C2B75" w14:textId="4C10F8CE" w:rsidR="006524D7" w:rsidRPr="00284684" w:rsidRDefault="006524D7" w:rsidP="00284684">
      <w:r w:rsidRPr="006524D7">
        <w:t>FIGURE S</w:t>
      </w:r>
      <w:r w:rsidR="00120FE2">
        <w:t>2</w:t>
      </w:r>
      <w:r w:rsidRPr="006524D7">
        <w:t xml:space="preserve">. Characterization of </w:t>
      </w:r>
      <w:r w:rsidRPr="006524D7">
        <w:rPr>
          <w:i/>
          <w:iCs/>
        </w:rPr>
        <w:t>CXCL8</w:t>
      </w:r>
      <w:r w:rsidRPr="006524D7">
        <w:t xml:space="preserve"> and </w:t>
      </w:r>
      <w:r w:rsidRPr="006524D7">
        <w:rPr>
          <w:i/>
          <w:iCs/>
        </w:rPr>
        <w:t>CLDN1</w:t>
      </w:r>
      <w:r w:rsidRPr="006524D7">
        <w:t xml:space="preserve"> gene expression in skin samples after TNFα treatment for 6 h. </w:t>
      </w:r>
      <w:proofErr w:type="spellStart"/>
      <w:r w:rsidRPr="006524D7">
        <w:t>HaCaT</w:t>
      </w:r>
      <w:proofErr w:type="spellEnd"/>
      <w:r w:rsidRPr="006524D7">
        <w:t xml:space="preserve"> keratinocytes cultured under low calcium conditions (0.06 mM Ca</w:t>
      </w:r>
      <w:r w:rsidRPr="006524D7">
        <w:rPr>
          <w:vertAlign w:val="superscript"/>
        </w:rPr>
        <w:t>2+</w:t>
      </w:r>
      <w:r w:rsidRPr="006524D7">
        <w:t xml:space="preserve">) for 4 days were treated with 20 ng/mL TNFα for 6 h. (a) </w:t>
      </w:r>
      <w:r w:rsidRPr="006524D7">
        <w:rPr>
          <w:i/>
          <w:iCs/>
        </w:rPr>
        <w:t>CXCL8</w:t>
      </w:r>
      <w:r w:rsidRPr="006524D7">
        <w:t xml:space="preserve"> and (b) </w:t>
      </w:r>
      <w:r w:rsidRPr="006524D7">
        <w:rPr>
          <w:i/>
          <w:iCs/>
        </w:rPr>
        <w:t>CLDN1</w:t>
      </w:r>
      <w:r w:rsidRPr="006524D7">
        <w:t xml:space="preserve"> gene expression (black) was measured after TNFα treatment and presented as fold change of the non-treated control (white). Relative gene expression was measured with RT-qPCR and normalized to the geomean of the reference genes (Statistics: mean + SEM; technical replicates: 3, biological replicates: 5).</w:t>
      </w:r>
    </w:p>
    <w:p w14:paraId="0B16ED2D" w14:textId="77777777" w:rsidR="00E91EC0" w:rsidRPr="00D371D5" w:rsidRDefault="00E91EC0" w:rsidP="00E91EC0">
      <w:pPr>
        <w:spacing w:after="0"/>
        <w:rPr>
          <w:rFonts w:eastAsia="Times New Roman" w:cs="Times New Roman"/>
          <w:szCs w:val="24"/>
          <w:lang w:eastAsia="en-GB"/>
        </w:rPr>
      </w:pPr>
    </w:p>
    <w:p w14:paraId="08EA397B" w14:textId="77777777" w:rsidR="00120FE2" w:rsidRPr="00A227C2" w:rsidRDefault="00120FE2" w:rsidP="00120FE2">
      <w:pPr>
        <w:jc w:val="center"/>
      </w:pPr>
      <w:r>
        <w:rPr>
          <w:noProof/>
        </w:rPr>
        <w:drawing>
          <wp:inline distT="0" distB="0" distL="0" distR="0" wp14:anchorId="068CBB87" wp14:editId="6002E77C">
            <wp:extent cx="4708799" cy="2384474"/>
            <wp:effectExtent l="0" t="0" r="0" b="0"/>
            <wp:docPr id="880746126" name="Picture 3" descr="A black background with white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0746126" name="Picture 3" descr="A black background with white text&#10;&#10;Description automatically generated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8259" cy="2389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A0E482" w14:textId="2FA91A4E" w:rsidR="00AB4479" w:rsidRDefault="00120FE2" w:rsidP="00120FE2">
      <w:r w:rsidRPr="00284684">
        <w:t>FIGURE S</w:t>
      </w:r>
      <w:r w:rsidR="004A5E3C">
        <w:t>3</w:t>
      </w:r>
      <w:r w:rsidRPr="00284684">
        <w:t xml:space="preserve">. TNFα-induced changes in </w:t>
      </w:r>
      <w:r w:rsidRPr="006524D7">
        <w:rPr>
          <w:i/>
          <w:iCs/>
        </w:rPr>
        <w:t>IVL</w:t>
      </w:r>
      <w:r w:rsidRPr="00284684">
        <w:t xml:space="preserve"> and </w:t>
      </w:r>
      <w:r w:rsidRPr="006524D7">
        <w:rPr>
          <w:i/>
          <w:iCs/>
        </w:rPr>
        <w:t>KRT14</w:t>
      </w:r>
      <w:r w:rsidRPr="00284684">
        <w:t xml:space="preserve"> expression in </w:t>
      </w:r>
      <w:proofErr w:type="spellStart"/>
      <w:r w:rsidRPr="00284684">
        <w:t>HaCaT</w:t>
      </w:r>
      <w:proofErr w:type="spellEnd"/>
      <w:r w:rsidRPr="00284684">
        <w:t xml:space="preserve"> keratinocytes. TNFα increased (a) </w:t>
      </w:r>
      <w:r w:rsidRPr="006524D7">
        <w:rPr>
          <w:i/>
          <w:iCs/>
        </w:rPr>
        <w:t>IVL</w:t>
      </w:r>
      <w:r w:rsidRPr="00284684">
        <w:t xml:space="preserve"> gene expression and (b) reduced </w:t>
      </w:r>
      <w:r w:rsidRPr="006524D7">
        <w:rPr>
          <w:i/>
          <w:iCs/>
        </w:rPr>
        <w:t>KRT14</w:t>
      </w:r>
      <w:r w:rsidRPr="00284684">
        <w:t xml:space="preserve"> after 6 h treatment with 20 ng/mL TNFα compared to the non-treated control. </w:t>
      </w:r>
      <w:r w:rsidRPr="006524D7">
        <w:rPr>
          <w:i/>
          <w:iCs/>
        </w:rPr>
        <w:t>IVL</w:t>
      </w:r>
      <w:r w:rsidRPr="00284684">
        <w:t xml:space="preserve"> and </w:t>
      </w:r>
      <w:r w:rsidRPr="006524D7">
        <w:rPr>
          <w:i/>
          <w:iCs/>
        </w:rPr>
        <w:t>KRT14</w:t>
      </w:r>
      <w:r w:rsidRPr="00284684">
        <w:t xml:space="preserve"> </w:t>
      </w:r>
      <w:proofErr w:type="gramStart"/>
      <w:r w:rsidRPr="00284684">
        <w:t>expression</w:t>
      </w:r>
      <w:proofErr w:type="gramEnd"/>
      <w:r w:rsidRPr="00284684">
        <w:t xml:space="preserve"> were measured using real-time PCR. Data is presented as fold change to non-treated control. White bars represent the non-treated </w:t>
      </w:r>
      <w:proofErr w:type="gramStart"/>
      <w:r w:rsidRPr="00284684">
        <w:t>control</w:t>
      </w:r>
      <w:proofErr w:type="gramEnd"/>
      <w:r w:rsidRPr="00284684">
        <w:t xml:space="preserve"> and black bars represent TNFα treatment. (Statistics: mean + SEM; technical replicates: 3, biological replicates: 10-11; Welch’s t- test, *p&lt;0.05, ***p&lt;0.001).</w:t>
      </w:r>
    </w:p>
    <w:p w14:paraId="7A383AB7" w14:textId="38BEA6C5" w:rsidR="00715328" w:rsidRDefault="00715328" w:rsidP="00715328">
      <w:r>
        <w:rPr>
          <w:noProof/>
        </w:rPr>
        <w:lastRenderedPageBreak/>
        <w:drawing>
          <wp:inline distT="0" distB="0" distL="0" distR="0" wp14:anchorId="0510B86C" wp14:editId="47255DE8">
            <wp:extent cx="6210300" cy="4727575"/>
            <wp:effectExtent l="0" t="0" r="0" b="0"/>
            <wp:docPr id="942092089" name="Imagen 3" descr="Texto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2092089" name="Imagen 3" descr="Texto&#10;&#10;El contenido generado por IA puede ser incorrecto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10300" cy="4727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0B1CBD" w14:textId="142C7065" w:rsidR="00715328" w:rsidRDefault="00715328" w:rsidP="00715328">
      <w:r w:rsidRPr="00284684">
        <w:t>FIGURE S</w:t>
      </w:r>
      <w:r>
        <w:t>4</w:t>
      </w:r>
      <w:r w:rsidRPr="00284684">
        <w:t xml:space="preserve">. TNFα-induced </w:t>
      </w:r>
      <w:r>
        <w:t>variation of</w:t>
      </w:r>
      <w:r w:rsidRPr="00284684">
        <w:t xml:space="preserve"> </w:t>
      </w:r>
      <w:r>
        <w:rPr>
          <w:i/>
          <w:iCs/>
        </w:rPr>
        <w:t>CLDN1</w:t>
      </w:r>
      <w:r w:rsidRPr="00284684">
        <w:t xml:space="preserve"> and </w:t>
      </w:r>
      <w:r>
        <w:rPr>
          <w:i/>
          <w:iCs/>
        </w:rPr>
        <w:t>CXCL8</w:t>
      </w:r>
      <w:r w:rsidRPr="00284684">
        <w:t xml:space="preserve"> expression in </w:t>
      </w:r>
      <w:proofErr w:type="spellStart"/>
      <w:r w:rsidRPr="00284684">
        <w:t>HaCaT</w:t>
      </w:r>
      <w:proofErr w:type="spellEnd"/>
      <w:r w:rsidRPr="00284684">
        <w:t xml:space="preserve"> keratinocytes.</w:t>
      </w:r>
      <w:r>
        <w:t xml:space="preserve"> </w:t>
      </w:r>
      <w:r w:rsidRPr="00284684">
        <w:t xml:space="preserve">(a) </w:t>
      </w:r>
      <w:r>
        <w:rPr>
          <w:i/>
          <w:iCs/>
        </w:rPr>
        <w:t>C</w:t>
      </w:r>
      <w:r w:rsidRPr="006524D7">
        <w:rPr>
          <w:i/>
          <w:iCs/>
        </w:rPr>
        <w:t>L</w:t>
      </w:r>
      <w:r>
        <w:rPr>
          <w:i/>
          <w:iCs/>
        </w:rPr>
        <w:t>DN1</w:t>
      </w:r>
      <w:r w:rsidRPr="00284684">
        <w:t xml:space="preserve"> expression</w:t>
      </w:r>
      <w:r>
        <w:t>,</w:t>
      </w:r>
      <w:r w:rsidRPr="00284684">
        <w:t xml:space="preserve"> (b)</w:t>
      </w:r>
      <w:r>
        <w:t xml:space="preserve"> </w:t>
      </w:r>
      <w:r>
        <w:rPr>
          <w:i/>
          <w:iCs/>
        </w:rPr>
        <w:t>CXCL8</w:t>
      </w:r>
      <w:r w:rsidRPr="00284684">
        <w:t xml:space="preserve"> </w:t>
      </w:r>
      <w:r>
        <w:t xml:space="preserve">expression and (c) IL-8 release corresponding to the data presented in figures 2a and 2b. Mean value + SEM (bars) and single datapoints (dots) are presented for the </w:t>
      </w:r>
      <w:r w:rsidRPr="00284684">
        <w:t>TNFα co</w:t>
      </w:r>
      <w:r>
        <w:t xml:space="preserve">ntrol and the </w:t>
      </w:r>
      <w:proofErr w:type="spellStart"/>
      <w:r>
        <w:t>homovanillic</w:t>
      </w:r>
      <w:proofErr w:type="spellEnd"/>
      <w:r>
        <w:t xml:space="preserve"> acid esters (</w:t>
      </w:r>
      <w:r w:rsidRPr="00715328">
        <w:rPr>
          <w:b/>
          <w:bCs/>
        </w:rPr>
        <w:t>1</w:t>
      </w:r>
      <w:r>
        <w:t>-</w:t>
      </w:r>
      <w:r w:rsidRPr="00715328">
        <w:rPr>
          <w:b/>
          <w:bCs/>
        </w:rPr>
        <w:t>16</w:t>
      </w:r>
      <w:r>
        <w:t>).</w:t>
      </w:r>
      <w:r w:rsidRPr="00284684">
        <w:t xml:space="preserve"> Data is presented as fold change to TNFα control. (Statistics: mean + SEM; technical replicates: 3, biological replicates: </w:t>
      </w:r>
      <w:r w:rsidR="00371F24">
        <w:t>4</w:t>
      </w:r>
      <w:r w:rsidRPr="00284684">
        <w:t>).</w:t>
      </w:r>
    </w:p>
    <w:p w14:paraId="76E5856A" w14:textId="4279AE40" w:rsidR="00A65ED1" w:rsidRPr="00120FE2" w:rsidRDefault="00A65ED1" w:rsidP="00A65ED1">
      <w:pPr>
        <w:jc w:val="center"/>
      </w:pPr>
      <w:r>
        <w:rPr>
          <w:noProof/>
        </w:rPr>
        <w:lastRenderedPageBreak/>
        <w:drawing>
          <wp:inline distT="0" distB="0" distL="0" distR="0" wp14:anchorId="511EB6E6" wp14:editId="472E51DE">
            <wp:extent cx="5104064" cy="3145012"/>
            <wp:effectExtent l="0" t="0" r="0" b="0"/>
            <wp:docPr id="1389293478" name="Imagen 4" descr="Diagram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9293478" name="Imagen 4" descr="Diagrama&#10;&#10;El contenido generado por IA puede ser incorrecto.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04064" cy="3145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8CFB60" w14:textId="6E14719C" w:rsidR="00A65ED1" w:rsidRDefault="00715328" w:rsidP="00A65ED1">
      <w:bookmarkStart w:id="0" w:name="_Hlk201391227"/>
      <w:r w:rsidRPr="00284684">
        <w:t>FIGURE S</w:t>
      </w:r>
      <w:r w:rsidR="00A65ED1">
        <w:t>5</w:t>
      </w:r>
      <w:r w:rsidRPr="00284684">
        <w:t xml:space="preserve">. </w:t>
      </w:r>
      <w:r w:rsidR="00A65ED1" w:rsidRPr="00284684">
        <w:t xml:space="preserve">TNFα-induced </w:t>
      </w:r>
      <w:r w:rsidR="00A65ED1">
        <w:t xml:space="preserve">variation </w:t>
      </w:r>
      <w:r w:rsidR="00A65ED1" w:rsidRPr="00284684">
        <w:t xml:space="preserve">in </w:t>
      </w:r>
      <w:r w:rsidR="00A65ED1" w:rsidRPr="006524D7">
        <w:rPr>
          <w:i/>
          <w:iCs/>
        </w:rPr>
        <w:t>IVL</w:t>
      </w:r>
      <w:r w:rsidR="00A65ED1" w:rsidRPr="00284684">
        <w:t xml:space="preserve"> and </w:t>
      </w:r>
      <w:r w:rsidR="00A65ED1" w:rsidRPr="006524D7">
        <w:rPr>
          <w:i/>
          <w:iCs/>
        </w:rPr>
        <w:t>KRT14</w:t>
      </w:r>
      <w:r w:rsidR="00A65ED1" w:rsidRPr="00284684">
        <w:t xml:space="preserve"> expression in </w:t>
      </w:r>
      <w:proofErr w:type="spellStart"/>
      <w:r w:rsidR="00A65ED1" w:rsidRPr="00284684">
        <w:t>HaCaT</w:t>
      </w:r>
      <w:proofErr w:type="spellEnd"/>
      <w:r w:rsidR="00A65ED1" w:rsidRPr="00284684">
        <w:t xml:space="preserve"> keratinocytes</w:t>
      </w:r>
      <w:r w:rsidR="00A65ED1">
        <w:t xml:space="preserve"> corresponding to the data presented in figures 4a. Mean value + SEM (bars) and single datapoints (dots) are presented for the </w:t>
      </w:r>
      <w:r w:rsidR="00A65ED1" w:rsidRPr="00284684">
        <w:t>TNFα co</w:t>
      </w:r>
      <w:r w:rsidR="00A65ED1">
        <w:t xml:space="preserve">ntrol and compounds </w:t>
      </w:r>
      <w:r w:rsidR="00A65ED1" w:rsidRPr="00A65ED1">
        <w:rPr>
          <w:b/>
          <w:bCs/>
        </w:rPr>
        <w:t>3</w:t>
      </w:r>
      <w:r w:rsidR="00A65ED1">
        <w:t xml:space="preserve">, </w:t>
      </w:r>
      <w:r w:rsidR="00A65ED1" w:rsidRPr="00A65ED1">
        <w:rPr>
          <w:b/>
          <w:bCs/>
        </w:rPr>
        <w:t>4</w:t>
      </w:r>
      <w:r w:rsidR="00A65ED1">
        <w:t xml:space="preserve">, </w:t>
      </w:r>
      <w:r w:rsidR="00A65ED1" w:rsidRPr="00A65ED1">
        <w:rPr>
          <w:b/>
          <w:bCs/>
        </w:rPr>
        <w:t>7</w:t>
      </w:r>
      <w:r w:rsidR="00A65ED1">
        <w:t xml:space="preserve">, </w:t>
      </w:r>
      <w:r w:rsidR="00A65ED1" w:rsidRPr="00A65ED1">
        <w:rPr>
          <w:b/>
          <w:bCs/>
        </w:rPr>
        <w:t>11</w:t>
      </w:r>
      <w:r w:rsidR="00A65ED1">
        <w:t xml:space="preserve">, and </w:t>
      </w:r>
      <w:r w:rsidR="00A65ED1" w:rsidRPr="00A65ED1">
        <w:rPr>
          <w:b/>
          <w:bCs/>
        </w:rPr>
        <w:t>15</w:t>
      </w:r>
      <w:r w:rsidR="00A65ED1">
        <w:t xml:space="preserve">. </w:t>
      </w:r>
      <w:r w:rsidR="00A65ED1" w:rsidRPr="00284684">
        <w:t xml:space="preserve">Data is presented as fold change to TNFα control. (Statistics: mean + SEM; technical replicates: 3, biological replicates: </w:t>
      </w:r>
      <w:r w:rsidR="00371F24">
        <w:t>4</w:t>
      </w:r>
      <w:r w:rsidR="00A65ED1" w:rsidRPr="00284684">
        <w:t>).</w:t>
      </w:r>
    </w:p>
    <w:bookmarkEnd w:id="0"/>
    <w:p w14:paraId="4CEAA00E" w14:textId="77777777" w:rsidR="00715328" w:rsidRPr="00120FE2" w:rsidRDefault="00715328" w:rsidP="00120FE2"/>
    <w:sectPr w:rsidR="00715328" w:rsidRPr="00120FE2" w:rsidSect="006030A2">
      <w:headerReference w:type="even" r:id="rId17"/>
      <w:footerReference w:type="even" r:id="rId18"/>
      <w:footerReference w:type="default" r:id="rId19"/>
      <w:headerReference w:type="first" r:id="rId20"/>
      <w:pgSz w:w="12240" w:h="15840"/>
      <w:pgMar w:top="1140" w:right="1179" w:bottom="1140" w:left="128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989FF4" w14:textId="77777777" w:rsidR="00AF7C76" w:rsidRDefault="00AF7C76" w:rsidP="00117666">
      <w:pPr>
        <w:spacing w:after="0"/>
      </w:pPr>
      <w:r>
        <w:separator/>
      </w:r>
    </w:p>
  </w:endnote>
  <w:endnote w:type="continuationSeparator" w:id="0">
    <w:p w14:paraId="69E26B9B" w14:textId="77777777" w:rsidR="00AF7C76" w:rsidRDefault="00AF7C76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4AB28" w14:textId="77777777" w:rsidR="00F065B0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F065B0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4D054D26" w14:textId="77777777" w:rsidR="00F065B0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2FF27" w14:textId="77777777" w:rsidR="00F065B0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F065B0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085E15EB" w14:textId="77777777" w:rsidR="00F065B0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61802C" w14:textId="77777777" w:rsidR="00AF7C76" w:rsidRDefault="00AF7C76" w:rsidP="00117666">
      <w:pPr>
        <w:spacing w:after="0"/>
      </w:pPr>
      <w:r>
        <w:separator/>
      </w:r>
    </w:p>
  </w:footnote>
  <w:footnote w:type="continuationSeparator" w:id="0">
    <w:p w14:paraId="2A3EA94D" w14:textId="77777777" w:rsidR="00AF7C76" w:rsidRDefault="00AF7C76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1EDBA" w14:textId="77777777" w:rsidR="00F065B0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711A5B" w14:textId="77777777" w:rsidR="00F065B0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 w16cid:durableId="1821115517">
    <w:abstractNumId w:val="0"/>
  </w:num>
  <w:num w:numId="2" w16cid:durableId="1683165481">
    <w:abstractNumId w:val="4"/>
  </w:num>
  <w:num w:numId="3" w16cid:durableId="615480040">
    <w:abstractNumId w:val="1"/>
  </w:num>
  <w:num w:numId="4" w16cid:durableId="1566183234">
    <w:abstractNumId w:val="5"/>
  </w:num>
  <w:num w:numId="5" w16cid:durableId="18077027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59223692">
    <w:abstractNumId w:val="3"/>
  </w:num>
  <w:num w:numId="7" w16cid:durableId="1359550598">
    <w:abstractNumId w:val="6"/>
  </w:num>
  <w:num w:numId="8" w16cid:durableId="1559510671">
    <w:abstractNumId w:val="6"/>
  </w:num>
  <w:num w:numId="9" w16cid:durableId="1734543462">
    <w:abstractNumId w:val="6"/>
  </w:num>
  <w:num w:numId="10" w16cid:durableId="708839681">
    <w:abstractNumId w:val="6"/>
  </w:num>
  <w:num w:numId="11" w16cid:durableId="2046978920">
    <w:abstractNumId w:val="6"/>
  </w:num>
  <w:num w:numId="12" w16cid:durableId="2124614653">
    <w:abstractNumId w:val="6"/>
  </w:num>
  <w:num w:numId="13" w16cid:durableId="150105246">
    <w:abstractNumId w:val="3"/>
  </w:num>
  <w:num w:numId="14" w16cid:durableId="515769853">
    <w:abstractNumId w:val="2"/>
  </w:num>
  <w:num w:numId="15" w16cid:durableId="1753046014">
    <w:abstractNumId w:val="2"/>
  </w:num>
  <w:num w:numId="16" w16cid:durableId="665939894">
    <w:abstractNumId w:val="2"/>
  </w:num>
  <w:num w:numId="17" w16cid:durableId="2078749421">
    <w:abstractNumId w:val="2"/>
  </w:num>
  <w:num w:numId="18" w16cid:durableId="825047625">
    <w:abstractNumId w:val="2"/>
  </w:num>
  <w:num w:numId="19" w16cid:durableId="8038104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D24"/>
    <w:rsid w:val="0001436A"/>
    <w:rsid w:val="00034304"/>
    <w:rsid w:val="00035434"/>
    <w:rsid w:val="000356DC"/>
    <w:rsid w:val="00040470"/>
    <w:rsid w:val="00052A14"/>
    <w:rsid w:val="000662CE"/>
    <w:rsid w:val="00077D53"/>
    <w:rsid w:val="000B544F"/>
    <w:rsid w:val="000E3F32"/>
    <w:rsid w:val="000F105B"/>
    <w:rsid w:val="00105FD9"/>
    <w:rsid w:val="00106079"/>
    <w:rsid w:val="001062FD"/>
    <w:rsid w:val="0011492B"/>
    <w:rsid w:val="00117666"/>
    <w:rsid w:val="00120FE2"/>
    <w:rsid w:val="001549D3"/>
    <w:rsid w:val="00160065"/>
    <w:rsid w:val="00177D84"/>
    <w:rsid w:val="001E574D"/>
    <w:rsid w:val="0021597B"/>
    <w:rsid w:val="00256A52"/>
    <w:rsid w:val="00267D18"/>
    <w:rsid w:val="00284684"/>
    <w:rsid w:val="002868E2"/>
    <w:rsid w:val="002869C3"/>
    <w:rsid w:val="002936E4"/>
    <w:rsid w:val="002B4A57"/>
    <w:rsid w:val="002B62B3"/>
    <w:rsid w:val="002C5BD0"/>
    <w:rsid w:val="002C74CA"/>
    <w:rsid w:val="00325D5F"/>
    <w:rsid w:val="003544FB"/>
    <w:rsid w:val="00371F24"/>
    <w:rsid w:val="003C4D53"/>
    <w:rsid w:val="003D2F2D"/>
    <w:rsid w:val="003F23EE"/>
    <w:rsid w:val="00401590"/>
    <w:rsid w:val="00447801"/>
    <w:rsid w:val="00452E9C"/>
    <w:rsid w:val="004634A7"/>
    <w:rsid w:val="004735C8"/>
    <w:rsid w:val="00473833"/>
    <w:rsid w:val="00481716"/>
    <w:rsid w:val="004961FF"/>
    <w:rsid w:val="004A5E3C"/>
    <w:rsid w:val="004B1173"/>
    <w:rsid w:val="00512CB2"/>
    <w:rsid w:val="00517A89"/>
    <w:rsid w:val="005250F2"/>
    <w:rsid w:val="00532549"/>
    <w:rsid w:val="00536BE7"/>
    <w:rsid w:val="00573DCA"/>
    <w:rsid w:val="00576D42"/>
    <w:rsid w:val="00582D29"/>
    <w:rsid w:val="00586483"/>
    <w:rsid w:val="005905C5"/>
    <w:rsid w:val="00590765"/>
    <w:rsid w:val="00593EEA"/>
    <w:rsid w:val="005A5EEE"/>
    <w:rsid w:val="005F2DD7"/>
    <w:rsid w:val="006030A2"/>
    <w:rsid w:val="006040DA"/>
    <w:rsid w:val="00621A99"/>
    <w:rsid w:val="006375C7"/>
    <w:rsid w:val="006524D7"/>
    <w:rsid w:val="00654E8F"/>
    <w:rsid w:val="0066099C"/>
    <w:rsid w:val="00660D05"/>
    <w:rsid w:val="006820B1"/>
    <w:rsid w:val="006B7D14"/>
    <w:rsid w:val="006F5FC2"/>
    <w:rsid w:val="00701727"/>
    <w:rsid w:val="0070566C"/>
    <w:rsid w:val="00714C50"/>
    <w:rsid w:val="00715328"/>
    <w:rsid w:val="00725A7D"/>
    <w:rsid w:val="00734C8C"/>
    <w:rsid w:val="007501BE"/>
    <w:rsid w:val="00790BB3"/>
    <w:rsid w:val="0079187C"/>
    <w:rsid w:val="007950D4"/>
    <w:rsid w:val="007A4D64"/>
    <w:rsid w:val="007C206C"/>
    <w:rsid w:val="007F3D75"/>
    <w:rsid w:val="00803D24"/>
    <w:rsid w:val="00806DBC"/>
    <w:rsid w:val="00817DD6"/>
    <w:rsid w:val="00830318"/>
    <w:rsid w:val="00834689"/>
    <w:rsid w:val="00856611"/>
    <w:rsid w:val="00885156"/>
    <w:rsid w:val="008A3E39"/>
    <w:rsid w:val="009151AA"/>
    <w:rsid w:val="00916304"/>
    <w:rsid w:val="0093429D"/>
    <w:rsid w:val="00934967"/>
    <w:rsid w:val="00943573"/>
    <w:rsid w:val="0096013C"/>
    <w:rsid w:val="00970F7D"/>
    <w:rsid w:val="00994A3D"/>
    <w:rsid w:val="009C2B12"/>
    <w:rsid w:val="009C70F3"/>
    <w:rsid w:val="00A174D9"/>
    <w:rsid w:val="00A569CD"/>
    <w:rsid w:val="00A615BE"/>
    <w:rsid w:val="00A65ED1"/>
    <w:rsid w:val="00AB4479"/>
    <w:rsid w:val="00AB6715"/>
    <w:rsid w:val="00AF7C76"/>
    <w:rsid w:val="00B07040"/>
    <w:rsid w:val="00B1671E"/>
    <w:rsid w:val="00B2561A"/>
    <w:rsid w:val="00B25EB8"/>
    <w:rsid w:val="00B30796"/>
    <w:rsid w:val="00B354E1"/>
    <w:rsid w:val="00B37F4D"/>
    <w:rsid w:val="00B56559"/>
    <w:rsid w:val="00B768DE"/>
    <w:rsid w:val="00B818B5"/>
    <w:rsid w:val="00B958B4"/>
    <w:rsid w:val="00B97488"/>
    <w:rsid w:val="00BE7506"/>
    <w:rsid w:val="00C25F04"/>
    <w:rsid w:val="00C4152C"/>
    <w:rsid w:val="00C44BEA"/>
    <w:rsid w:val="00C52A7B"/>
    <w:rsid w:val="00C56BAF"/>
    <w:rsid w:val="00C669D9"/>
    <w:rsid w:val="00C679AA"/>
    <w:rsid w:val="00C75972"/>
    <w:rsid w:val="00C7775E"/>
    <w:rsid w:val="00C90941"/>
    <w:rsid w:val="00CC01B0"/>
    <w:rsid w:val="00CC0A3A"/>
    <w:rsid w:val="00CD066B"/>
    <w:rsid w:val="00CD12C3"/>
    <w:rsid w:val="00CE3094"/>
    <w:rsid w:val="00CE3F62"/>
    <w:rsid w:val="00CE4FEE"/>
    <w:rsid w:val="00D24006"/>
    <w:rsid w:val="00D371D5"/>
    <w:rsid w:val="00D56910"/>
    <w:rsid w:val="00D75969"/>
    <w:rsid w:val="00DA154E"/>
    <w:rsid w:val="00DA28FC"/>
    <w:rsid w:val="00DB587F"/>
    <w:rsid w:val="00DB59C3"/>
    <w:rsid w:val="00DC259A"/>
    <w:rsid w:val="00DD64A3"/>
    <w:rsid w:val="00DE23E8"/>
    <w:rsid w:val="00E06839"/>
    <w:rsid w:val="00E52377"/>
    <w:rsid w:val="00E64E17"/>
    <w:rsid w:val="00E85D44"/>
    <w:rsid w:val="00E866C9"/>
    <w:rsid w:val="00E86B9C"/>
    <w:rsid w:val="00E91EC0"/>
    <w:rsid w:val="00EA0AFC"/>
    <w:rsid w:val="00EA3D3C"/>
    <w:rsid w:val="00EE47DD"/>
    <w:rsid w:val="00F00F7B"/>
    <w:rsid w:val="00F04975"/>
    <w:rsid w:val="00F065B0"/>
    <w:rsid w:val="00F069CA"/>
    <w:rsid w:val="00F46900"/>
    <w:rsid w:val="00F61D89"/>
    <w:rsid w:val="00F66893"/>
    <w:rsid w:val="00FD2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0404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9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2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114314AF-3C36-4C2C-B599-40A76C6FFFC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0</TotalTime>
  <Pages>5</Pages>
  <Words>465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Barbara Lieder</cp:lastModifiedBy>
  <cp:revision>2</cp:revision>
  <cp:lastPrinted>2013-10-03T12:51:00Z</cp:lastPrinted>
  <dcterms:created xsi:type="dcterms:W3CDTF">2025-07-11T16:01:00Z</dcterms:created>
  <dcterms:modified xsi:type="dcterms:W3CDTF">2025-07-11T16:01:00Z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