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3CD04D" w14:textId="77777777" w:rsidR="00260E91" w:rsidRPr="00B37D34" w:rsidRDefault="00260E91" w:rsidP="00260E91">
      <w:pPr>
        <w:spacing w:before="120" w:after="240"/>
        <w:jc w:val="center"/>
        <w:rPr>
          <w:rFonts w:asciiTheme="minorHAnsi" w:hAnsiTheme="minorHAnsi" w:cstheme="minorHAnsi"/>
          <w:b/>
          <w:sz w:val="24"/>
          <w:lang w:val="en-GB"/>
        </w:rPr>
      </w:pPr>
      <w:r w:rsidRPr="00B37D34">
        <w:rPr>
          <w:rFonts w:asciiTheme="minorHAnsi" w:hAnsiTheme="minorHAnsi" w:cstheme="minorHAnsi"/>
          <w:b/>
          <w:sz w:val="24"/>
          <w:lang w:val="en-GB"/>
        </w:rPr>
        <w:t>Mobilisation of Fe, Al, and DOM from topsoil during simulated early Podzol development and subsequent DOM adsorption on model minerals</w:t>
      </w:r>
    </w:p>
    <w:p w14:paraId="17F69292" w14:textId="1379D53A" w:rsidR="00B05806" w:rsidRPr="00B37D34" w:rsidRDefault="00144932" w:rsidP="00144932">
      <w:pPr>
        <w:spacing w:after="120"/>
        <w:jc w:val="center"/>
        <w:rPr>
          <w:rFonts w:asciiTheme="minorHAnsi" w:hAnsiTheme="minorHAnsi" w:cstheme="minorHAnsi"/>
          <w:b/>
          <w:szCs w:val="20"/>
          <w:vertAlign w:val="superscript"/>
          <w:lang w:val="pt-BR"/>
        </w:rPr>
      </w:pPr>
      <w:r w:rsidRPr="00B37D34">
        <w:rPr>
          <w:rFonts w:asciiTheme="minorHAnsi" w:hAnsiTheme="minorHAnsi" w:cstheme="minorHAnsi"/>
          <w:b/>
          <w:szCs w:val="20"/>
          <w:lang w:val="pt-BR"/>
        </w:rPr>
        <w:t>Agnes Krettek,</w:t>
      </w:r>
      <w:r w:rsidR="00B05806" w:rsidRPr="00B37D34">
        <w:rPr>
          <w:rFonts w:asciiTheme="minorHAnsi" w:hAnsiTheme="minorHAnsi" w:cstheme="minorHAnsi"/>
          <w:b/>
          <w:szCs w:val="20"/>
          <w:lang w:val="pt-BR"/>
        </w:rPr>
        <w:t xml:space="preserve"> Thilo Rennert</w:t>
      </w:r>
    </w:p>
    <w:p w14:paraId="407A754A" w14:textId="6B41C166" w:rsidR="00B05806" w:rsidRPr="00B37D34" w:rsidRDefault="00B05806" w:rsidP="00144932">
      <w:pPr>
        <w:spacing w:after="120"/>
        <w:jc w:val="center"/>
        <w:rPr>
          <w:rFonts w:asciiTheme="minorHAnsi" w:hAnsiTheme="minorHAnsi" w:cstheme="minorHAnsi"/>
          <w:szCs w:val="20"/>
          <w:lang w:val="en-US"/>
        </w:rPr>
      </w:pPr>
      <w:r w:rsidRPr="00B37D34">
        <w:rPr>
          <w:rFonts w:asciiTheme="minorHAnsi" w:hAnsiTheme="minorHAnsi" w:cstheme="minorHAnsi"/>
          <w:szCs w:val="20"/>
          <w:lang w:val="en-US"/>
        </w:rPr>
        <w:t>Department of Soil Chemistry and Pedology, Institute of Soil Science and Land Evaluation, University of Hohenheim, D-70593 Stuttgart</w:t>
      </w:r>
      <w:r w:rsidR="00E45CA4" w:rsidRPr="00B37D34">
        <w:rPr>
          <w:rFonts w:asciiTheme="minorHAnsi" w:hAnsiTheme="minorHAnsi" w:cstheme="minorHAnsi"/>
          <w:szCs w:val="20"/>
          <w:lang w:val="en-US"/>
        </w:rPr>
        <w:t>, Germany</w:t>
      </w:r>
    </w:p>
    <w:p w14:paraId="2461E9F3" w14:textId="6E4F3045" w:rsidR="002F2F83" w:rsidRPr="00B37D34" w:rsidRDefault="00BC6757" w:rsidP="00B6411C">
      <w:pPr>
        <w:spacing w:line="480" w:lineRule="auto"/>
        <w:jc w:val="center"/>
        <w:rPr>
          <w:rFonts w:ascii="Helvetica" w:hAnsi="Helvetica" w:cs="Helvetica"/>
          <w:b/>
          <w:sz w:val="24"/>
          <w:szCs w:val="24"/>
          <w:lang w:val="en-US"/>
        </w:rPr>
      </w:pPr>
      <w:r w:rsidRPr="00B37D34">
        <w:rPr>
          <w:rFonts w:asciiTheme="minorHAnsi" w:hAnsiTheme="minorHAnsi" w:cstheme="minorHAnsi"/>
          <w:sz w:val="28"/>
          <w:szCs w:val="28"/>
          <w:lang w:val="pt-BR"/>
        </w:rPr>
        <w:t>Supplementary material</w:t>
      </w:r>
      <w:r w:rsidR="00B05806" w:rsidRPr="00B37D34">
        <w:rPr>
          <w:rFonts w:ascii="Helvetica" w:hAnsi="Helvetica" w:cs="Helvetica"/>
          <w:b/>
          <w:sz w:val="24"/>
          <w:szCs w:val="24"/>
          <w:lang w:val="en-US"/>
        </w:rPr>
        <w:br w:type="page"/>
      </w:r>
    </w:p>
    <w:p w14:paraId="3A70B84E" w14:textId="39F16F38" w:rsidR="0097638B" w:rsidRPr="00B37D34" w:rsidRDefault="00F2649D" w:rsidP="00EF1AFD">
      <w:pPr>
        <w:jc w:val="both"/>
        <w:rPr>
          <w:rFonts w:asciiTheme="minorHAnsi" w:hAnsiTheme="minorHAnsi" w:cstheme="minorHAnsi"/>
        </w:rPr>
      </w:pPr>
      <w:r w:rsidRPr="00B37D34">
        <w:rPr>
          <w:rFonts w:asciiTheme="minorHAnsi" w:hAnsiTheme="minorHAnsi" w:cstheme="minorHAnsi"/>
          <w:noProof/>
          <w:lang w:val="en-IN" w:eastAsia="en-IN"/>
        </w:rPr>
        <w:lastRenderedPageBreak/>
        <w:drawing>
          <wp:inline distT="0" distB="0" distL="0" distR="0" wp14:anchorId="52A59643" wp14:editId="2161D709">
            <wp:extent cx="4285161" cy="3240000"/>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85161" cy="3240000"/>
                    </a:xfrm>
                    <a:prstGeom prst="rect">
                      <a:avLst/>
                    </a:prstGeom>
                    <a:noFill/>
                    <a:ln>
                      <a:noFill/>
                    </a:ln>
                  </pic:spPr>
                </pic:pic>
              </a:graphicData>
            </a:graphic>
          </wp:inline>
        </w:drawing>
      </w:r>
      <w:r w:rsidR="001D4216" w:rsidRPr="00B37D34">
        <w:rPr>
          <w:rFonts w:asciiTheme="minorHAnsi" w:hAnsiTheme="minorHAnsi" w:cstheme="minorHAnsi"/>
          <w:noProof/>
          <w:lang w:val="en-IN" w:eastAsia="en-IN"/>
        </w:rPr>
        <w:drawing>
          <wp:inline distT="0" distB="0" distL="0" distR="0" wp14:anchorId="41D6B615" wp14:editId="1CC863F1">
            <wp:extent cx="4285161" cy="3240000"/>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85161" cy="3240000"/>
                    </a:xfrm>
                    <a:prstGeom prst="rect">
                      <a:avLst/>
                    </a:prstGeom>
                    <a:noFill/>
                    <a:ln>
                      <a:noFill/>
                    </a:ln>
                  </pic:spPr>
                </pic:pic>
              </a:graphicData>
            </a:graphic>
          </wp:inline>
        </w:drawing>
      </w:r>
      <w:r w:rsidR="001D4216" w:rsidRPr="00B37D34">
        <w:rPr>
          <w:rFonts w:asciiTheme="minorHAnsi" w:hAnsiTheme="minorHAnsi" w:cstheme="minorHAnsi"/>
          <w:noProof/>
          <w:lang w:val="en-IN" w:eastAsia="en-IN"/>
        </w:rPr>
        <w:lastRenderedPageBreak/>
        <w:drawing>
          <wp:inline distT="0" distB="0" distL="0" distR="0" wp14:anchorId="131C7339" wp14:editId="2A5A2B41">
            <wp:extent cx="4285161" cy="3240000"/>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85161" cy="3240000"/>
                    </a:xfrm>
                    <a:prstGeom prst="rect">
                      <a:avLst/>
                    </a:prstGeom>
                    <a:noFill/>
                    <a:ln>
                      <a:noFill/>
                    </a:ln>
                  </pic:spPr>
                </pic:pic>
              </a:graphicData>
            </a:graphic>
          </wp:inline>
        </w:drawing>
      </w:r>
      <w:r w:rsidR="001D4216" w:rsidRPr="00B37D34">
        <w:rPr>
          <w:rFonts w:asciiTheme="minorHAnsi" w:hAnsiTheme="minorHAnsi" w:cstheme="minorHAnsi"/>
          <w:noProof/>
          <w:lang w:val="en-IN" w:eastAsia="en-IN"/>
        </w:rPr>
        <w:drawing>
          <wp:inline distT="0" distB="0" distL="0" distR="0" wp14:anchorId="328AC397" wp14:editId="16C07E8E">
            <wp:extent cx="4285161" cy="3240000"/>
            <wp:effectExtent l="0" t="0" r="0"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85161" cy="3240000"/>
                    </a:xfrm>
                    <a:prstGeom prst="rect">
                      <a:avLst/>
                    </a:prstGeom>
                    <a:noFill/>
                    <a:ln>
                      <a:noFill/>
                    </a:ln>
                  </pic:spPr>
                </pic:pic>
              </a:graphicData>
            </a:graphic>
          </wp:inline>
        </w:drawing>
      </w:r>
      <w:r w:rsidR="001D4216" w:rsidRPr="00B37D34">
        <w:rPr>
          <w:rFonts w:asciiTheme="minorHAnsi" w:hAnsiTheme="minorHAnsi" w:cstheme="minorHAnsi"/>
          <w:noProof/>
          <w:lang w:val="en-IN" w:eastAsia="en-IN"/>
        </w:rPr>
        <w:lastRenderedPageBreak/>
        <w:drawing>
          <wp:inline distT="0" distB="0" distL="0" distR="0" wp14:anchorId="11639B7F" wp14:editId="78094213">
            <wp:extent cx="4285161" cy="3240000"/>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85161" cy="3240000"/>
                    </a:xfrm>
                    <a:prstGeom prst="rect">
                      <a:avLst/>
                    </a:prstGeom>
                    <a:noFill/>
                    <a:ln>
                      <a:noFill/>
                    </a:ln>
                  </pic:spPr>
                </pic:pic>
              </a:graphicData>
            </a:graphic>
          </wp:inline>
        </w:drawing>
      </w:r>
      <w:r w:rsidR="001D4216" w:rsidRPr="00B37D34">
        <w:rPr>
          <w:rFonts w:asciiTheme="minorHAnsi" w:hAnsiTheme="minorHAnsi" w:cstheme="minorHAnsi"/>
          <w:noProof/>
          <w:lang w:val="en-IN" w:eastAsia="en-IN"/>
        </w:rPr>
        <w:drawing>
          <wp:inline distT="0" distB="0" distL="0" distR="0" wp14:anchorId="079498E4" wp14:editId="23D973E9">
            <wp:extent cx="4285161" cy="3240000"/>
            <wp:effectExtent l="0" t="0" r="0" b="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85161" cy="3240000"/>
                    </a:xfrm>
                    <a:prstGeom prst="rect">
                      <a:avLst/>
                    </a:prstGeom>
                    <a:noFill/>
                    <a:ln>
                      <a:noFill/>
                    </a:ln>
                  </pic:spPr>
                </pic:pic>
              </a:graphicData>
            </a:graphic>
          </wp:inline>
        </w:drawing>
      </w:r>
    </w:p>
    <w:p w14:paraId="17876026" w14:textId="1F938358" w:rsidR="004D3660" w:rsidRPr="00B37D34" w:rsidRDefault="004D3660" w:rsidP="00EF1AFD">
      <w:pPr>
        <w:jc w:val="both"/>
        <w:rPr>
          <w:rFonts w:ascii="Helvetica" w:hAnsi="Helvetica" w:cs="Helvetica"/>
          <w:b/>
          <w:bCs/>
          <w:lang w:val="en-US"/>
        </w:rPr>
      </w:pPr>
      <w:r w:rsidRPr="00B37D34">
        <w:rPr>
          <w:rFonts w:asciiTheme="minorHAnsi" w:hAnsiTheme="minorHAnsi" w:cstheme="minorHAnsi"/>
        </w:rPr>
        <w:t>Figure S</w:t>
      </w:r>
      <w:r w:rsidRPr="00B37D34">
        <w:rPr>
          <w:rFonts w:asciiTheme="minorHAnsi" w:hAnsiTheme="minorHAnsi" w:cstheme="minorHAnsi"/>
          <w:i/>
        </w:rPr>
        <w:fldChar w:fldCharType="begin"/>
      </w:r>
      <w:r w:rsidRPr="00B37D34">
        <w:rPr>
          <w:rFonts w:asciiTheme="minorHAnsi" w:hAnsiTheme="minorHAnsi" w:cstheme="minorHAnsi"/>
        </w:rPr>
        <w:instrText xml:space="preserve"> SEQ Figure_S \* ARABIC </w:instrText>
      </w:r>
      <w:r w:rsidRPr="00B37D34">
        <w:rPr>
          <w:rFonts w:asciiTheme="minorHAnsi" w:hAnsiTheme="minorHAnsi" w:cstheme="minorHAnsi"/>
          <w:i/>
        </w:rPr>
        <w:fldChar w:fldCharType="separate"/>
      </w:r>
      <w:r w:rsidRPr="00B37D34">
        <w:rPr>
          <w:rFonts w:asciiTheme="minorHAnsi" w:hAnsiTheme="minorHAnsi" w:cstheme="minorHAnsi"/>
          <w:noProof/>
        </w:rPr>
        <w:t>1</w:t>
      </w:r>
      <w:r w:rsidRPr="00B37D34">
        <w:rPr>
          <w:rFonts w:asciiTheme="minorHAnsi" w:hAnsiTheme="minorHAnsi" w:cstheme="minorHAnsi"/>
          <w:i/>
        </w:rPr>
        <w:fldChar w:fldCharType="end"/>
      </w:r>
      <w:r w:rsidRPr="00B37D34">
        <w:rPr>
          <w:rFonts w:asciiTheme="minorHAnsi" w:hAnsiTheme="minorHAnsi" w:cstheme="minorHAnsi"/>
        </w:rPr>
        <w:t xml:space="preserve">: Concentration of Si in eluates from </w:t>
      </w:r>
      <w:r w:rsidR="00724CF0" w:rsidRPr="00B37D34">
        <w:rPr>
          <w:rFonts w:asciiTheme="minorHAnsi" w:hAnsiTheme="minorHAnsi" w:cstheme="minorHAnsi"/>
        </w:rPr>
        <w:t>release</w:t>
      </w:r>
      <w:r w:rsidR="004575C9" w:rsidRPr="00B37D34">
        <w:rPr>
          <w:rFonts w:asciiTheme="minorHAnsi" w:hAnsiTheme="minorHAnsi" w:cstheme="minorHAnsi"/>
        </w:rPr>
        <w:t xml:space="preserve"> experiments run at q = 1 mm h</w:t>
      </w:r>
      <w:r w:rsidR="004575C9" w:rsidRPr="00B37D34">
        <w:rPr>
          <w:rFonts w:asciiTheme="minorHAnsi" w:hAnsiTheme="minorHAnsi" w:cstheme="minorHAnsi"/>
          <w:vertAlign w:val="superscript"/>
        </w:rPr>
        <w:t>-1</w:t>
      </w:r>
      <w:r w:rsidR="004575C9" w:rsidRPr="00B37D34">
        <w:rPr>
          <w:rFonts w:asciiTheme="minorHAnsi" w:hAnsiTheme="minorHAnsi" w:cstheme="minorHAnsi"/>
        </w:rPr>
        <w:t xml:space="preserve"> (</w:t>
      </w:r>
      <w:r w:rsidR="006B658C" w:rsidRPr="00B37D34">
        <w:rPr>
          <w:rFonts w:asciiTheme="minorHAnsi" w:hAnsiTheme="minorHAnsi" w:cstheme="minorHAnsi"/>
        </w:rPr>
        <w:t>a)-c</w:t>
      </w:r>
      <w:r w:rsidR="0097638B" w:rsidRPr="00B37D34">
        <w:rPr>
          <w:rFonts w:asciiTheme="minorHAnsi" w:hAnsiTheme="minorHAnsi" w:cstheme="minorHAnsi"/>
        </w:rPr>
        <w:t>)</w:t>
      </w:r>
      <w:r w:rsidR="004575C9" w:rsidRPr="00B37D34">
        <w:rPr>
          <w:rFonts w:asciiTheme="minorHAnsi" w:hAnsiTheme="minorHAnsi" w:cstheme="minorHAnsi"/>
        </w:rPr>
        <w:t>) and q = 10 mm h</w:t>
      </w:r>
      <w:r w:rsidR="004575C9" w:rsidRPr="00B37D34">
        <w:rPr>
          <w:rFonts w:asciiTheme="minorHAnsi" w:hAnsiTheme="minorHAnsi" w:cstheme="minorHAnsi"/>
          <w:vertAlign w:val="superscript"/>
        </w:rPr>
        <w:t>-1</w:t>
      </w:r>
      <w:r w:rsidR="004575C9" w:rsidRPr="00B37D34">
        <w:rPr>
          <w:rFonts w:asciiTheme="minorHAnsi" w:hAnsiTheme="minorHAnsi" w:cstheme="minorHAnsi"/>
        </w:rPr>
        <w:t xml:space="preserve"> (</w:t>
      </w:r>
      <w:r w:rsidR="0097638B" w:rsidRPr="00B37D34">
        <w:rPr>
          <w:rFonts w:asciiTheme="minorHAnsi" w:hAnsiTheme="minorHAnsi" w:cstheme="minorHAnsi"/>
        </w:rPr>
        <w:t>d)-f)</w:t>
      </w:r>
      <w:r w:rsidR="004575C9" w:rsidRPr="00B37D34">
        <w:rPr>
          <w:rFonts w:asciiTheme="minorHAnsi" w:hAnsiTheme="minorHAnsi" w:cstheme="minorHAnsi"/>
        </w:rPr>
        <w:t xml:space="preserve">) with </w:t>
      </w:r>
      <w:r w:rsidRPr="00B37D34">
        <w:rPr>
          <w:rFonts w:asciiTheme="minorHAnsi" w:hAnsiTheme="minorHAnsi" w:cstheme="minorHAnsi"/>
        </w:rPr>
        <w:t>three soil cylinders taken from the AE horizon of a Dystric Arenosol. Arrows indicate flow interruptions and their duration in days.</w:t>
      </w:r>
    </w:p>
    <w:p w14:paraId="61453E70" w14:textId="3879473F" w:rsidR="004D3660" w:rsidRPr="00B37D34" w:rsidRDefault="004D3660" w:rsidP="004D3660">
      <w:pPr>
        <w:spacing w:line="480" w:lineRule="auto"/>
        <w:jc w:val="both"/>
        <w:rPr>
          <w:rFonts w:asciiTheme="minorHAnsi" w:hAnsiTheme="minorHAnsi" w:cstheme="minorHAnsi"/>
          <w:bCs/>
          <w:lang w:val="en-US"/>
        </w:rPr>
        <w:sectPr w:rsidR="004D3660" w:rsidRPr="00B37D34" w:rsidSect="003C75AA">
          <w:headerReference w:type="default" r:id="rId14"/>
          <w:pgSz w:w="11906" w:h="16838"/>
          <w:pgMar w:top="1417" w:right="1417" w:bottom="1134" w:left="1417" w:header="708" w:footer="708" w:gutter="0"/>
          <w:cols w:space="708"/>
          <w:docGrid w:linePitch="360"/>
        </w:sectPr>
      </w:pPr>
      <w:bookmarkStart w:id="0" w:name="_GoBack"/>
      <w:bookmarkEnd w:id="0"/>
    </w:p>
    <w:p w14:paraId="473364FB" w14:textId="6E35E074" w:rsidR="006B658C" w:rsidRPr="00B37D34" w:rsidRDefault="006B658C" w:rsidP="00EF1AFD">
      <w:pPr>
        <w:jc w:val="both"/>
      </w:pPr>
      <w:r w:rsidRPr="00B37D34">
        <w:rPr>
          <w:noProof/>
          <w:lang w:val="en-IN" w:eastAsia="en-IN"/>
        </w:rPr>
        <w:lastRenderedPageBreak/>
        <w:drawing>
          <wp:inline distT="0" distB="0" distL="0" distR="0" wp14:anchorId="6F4EC14E" wp14:editId="7181A7B7">
            <wp:extent cx="4285161" cy="3240000"/>
            <wp:effectExtent l="0" t="0" r="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285161" cy="3240000"/>
                    </a:xfrm>
                    <a:prstGeom prst="rect">
                      <a:avLst/>
                    </a:prstGeom>
                    <a:noFill/>
                    <a:ln>
                      <a:noFill/>
                    </a:ln>
                  </pic:spPr>
                </pic:pic>
              </a:graphicData>
            </a:graphic>
          </wp:inline>
        </w:drawing>
      </w:r>
      <w:r w:rsidRPr="00B37D34">
        <w:rPr>
          <w:noProof/>
          <w:lang w:val="en-IN" w:eastAsia="en-IN"/>
        </w:rPr>
        <w:drawing>
          <wp:inline distT="0" distB="0" distL="0" distR="0" wp14:anchorId="4F46AD1F" wp14:editId="656C5780">
            <wp:extent cx="4285161" cy="3240000"/>
            <wp:effectExtent l="0" t="0" r="0" b="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85161" cy="3240000"/>
                    </a:xfrm>
                    <a:prstGeom prst="rect">
                      <a:avLst/>
                    </a:prstGeom>
                    <a:noFill/>
                    <a:ln>
                      <a:noFill/>
                    </a:ln>
                  </pic:spPr>
                </pic:pic>
              </a:graphicData>
            </a:graphic>
          </wp:inline>
        </w:drawing>
      </w:r>
      <w:r w:rsidRPr="00B37D34">
        <w:rPr>
          <w:noProof/>
          <w:lang w:val="en-IN" w:eastAsia="en-IN"/>
        </w:rPr>
        <w:lastRenderedPageBreak/>
        <w:drawing>
          <wp:inline distT="0" distB="0" distL="0" distR="0" wp14:anchorId="231ACAD8" wp14:editId="55E49583">
            <wp:extent cx="4285161" cy="3240000"/>
            <wp:effectExtent l="0" t="0" r="0" b="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285161" cy="3240000"/>
                    </a:xfrm>
                    <a:prstGeom prst="rect">
                      <a:avLst/>
                    </a:prstGeom>
                    <a:noFill/>
                    <a:ln>
                      <a:noFill/>
                    </a:ln>
                  </pic:spPr>
                </pic:pic>
              </a:graphicData>
            </a:graphic>
          </wp:inline>
        </w:drawing>
      </w:r>
      <w:r w:rsidRPr="00B37D34">
        <w:rPr>
          <w:noProof/>
          <w:lang w:val="en-IN" w:eastAsia="en-IN"/>
        </w:rPr>
        <w:drawing>
          <wp:inline distT="0" distB="0" distL="0" distR="0" wp14:anchorId="73E1318A" wp14:editId="76BE43CE">
            <wp:extent cx="4285161" cy="3240000"/>
            <wp:effectExtent l="0" t="0" r="0" b="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85161" cy="3240000"/>
                    </a:xfrm>
                    <a:prstGeom prst="rect">
                      <a:avLst/>
                    </a:prstGeom>
                    <a:noFill/>
                    <a:ln>
                      <a:noFill/>
                    </a:ln>
                  </pic:spPr>
                </pic:pic>
              </a:graphicData>
            </a:graphic>
          </wp:inline>
        </w:drawing>
      </w:r>
      <w:r w:rsidRPr="00B37D34">
        <w:rPr>
          <w:noProof/>
          <w:lang w:val="en-IN" w:eastAsia="en-IN"/>
        </w:rPr>
        <w:lastRenderedPageBreak/>
        <w:drawing>
          <wp:inline distT="0" distB="0" distL="0" distR="0" wp14:anchorId="6648B3E1" wp14:editId="66CA09CD">
            <wp:extent cx="4285161" cy="3240000"/>
            <wp:effectExtent l="0" t="0" r="0" b="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85161" cy="3240000"/>
                    </a:xfrm>
                    <a:prstGeom prst="rect">
                      <a:avLst/>
                    </a:prstGeom>
                    <a:noFill/>
                    <a:ln>
                      <a:noFill/>
                    </a:ln>
                  </pic:spPr>
                </pic:pic>
              </a:graphicData>
            </a:graphic>
          </wp:inline>
        </w:drawing>
      </w:r>
      <w:r w:rsidRPr="00B37D34">
        <w:rPr>
          <w:noProof/>
          <w:lang w:val="en-IN" w:eastAsia="en-IN"/>
        </w:rPr>
        <w:drawing>
          <wp:inline distT="0" distB="0" distL="0" distR="0" wp14:anchorId="6B363A93" wp14:editId="6296A72B">
            <wp:extent cx="4281118" cy="3240000"/>
            <wp:effectExtent l="0" t="0" r="0" b="0"/>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81118" cy="3240000"/>
                    </a:xfrm>
                    <a:prstGeom prst="rect">
                      <a:avLst/>
                    </a:prstGeom>
                    <a:noFill/>
                    <a:ln>
                      <a:noFill/>
                    </a:ln>
                  </pic:spPr>
                </pic:pic>
              </a:graphicData>
            </a:graphic>
          </wp:inline>
        </w:drawing>
      </w:r>
    </w:p>
    <w:p w14:paraId="75D76AAE" w14:textId="2B3EFB22" w:rsidR="00B6411C" w:rsidRPr="00B37D34" w:rsidRDefault="00B6411C" w:rsidP="00EF1AFD">
      <w:pPr>
        <w:jc w:val="both"/>
        <w:rPr>
          <w:rFonts w:asciiTheme="minorHAnsi" w:hAnsiTheme="minorHAnsi" w:cstheme="minorHAnsi"/>
          <w:lang w:val="en-GB"/>
        </w:rPr>
        <w:sectPr w:rsidR="00B6411C" w:rsidRPr="00B37D34" w:rsidSect="003C75AA">
          <w:pgSz w:w="11906" w:h="16838"/>
          <w:pgMar w:top="1417" w:right="1417" w:bottom="1134" w:left="1417" w:header="708" w:footer="708" w:gutter="0"/>
          <w:cols w:space="708"/>
          <w:docGrid w:linePitch="360"/>
        </w:sectPr>
      </w:pPr>
      <w:r w:rsidRPr="00B37D34">
        <w:t>Figure S</w:t>
      </w:r>
      <w:r w:rsidRPr="00B37D34">
        <w:rPr>
          <w:i/>
        </w:rPr>
        <w:fldChar w:fldCharType="begin"/>
      </w:r>
      <w:r w:rsidRPr="00B37D34">
        <w:instrText xml:space="preserve"> SEQ Figure_S \* ARABIC </w:instrText>
      </w:r>
      <w:r w:rsidRPr="00B37D34">
        <w:rPr>
          <w:i/>
        </w:rPr>
        <w:fldChar w:fldCharType="separate"/>
      </w:r>
      <w:r w:rsidR="00B2581A" w:rsidRPr="00B37D34">
        <w:rPr>
          <w:noProof/>
        </w:rPr>
        <w:t>2</w:t>
      </w:r>
      <w:r w:rsidRPr="00B37D34">
        <w:rPr>
          <w:i/>
        </w:rPr>
        <w:fldChar w:fldCharType="end"/>
      </w:r>
      <w:r w:rsidRPr="00B37D34">
        <w:t>:</w:t>
      </w:r>
      <w:r w:rsidR="00C21080" w:rsidRPr="00B37D34">
        <w:t xml:space="preserve"> Total extinction </w:t>
      </w:r>
      <w:r w:rsidR="004063EF" w:rsidRPr="00B37D34">
        <w:t xml:space="preserve">[-] </w:t>
      </w:r>
      <w:r w:rsidR="00C21080" w:rsidRPr="00B37D34">
        <w:t xml:space="preserve">at </w:t>
      </w:r>
      <w:r w:rsidR="004575C9" w:rsidRPr="00B37D34">
        <w:rPr>
          <w:rFonts w:ascii="Symbol" w:hAnsi="Symbol"/>
        </w:rPr>
        <w:t></w:t>
      </w:r>
      <w:r w:rsidR="004575C9" w:rsidRPr="00B37D34">
        <w:t xml:space="preserve"> = </w:t>
      </w:r>
      <w:r w:rsidR="00C21080" w:rsidRPr="00B37D34">
        <w:t xml:space="preserve">350 nm </w:t>
      </w:r>
      <w:r w:rsidR="00C21080" w:rsidRPr="00B37D34">
        <w:rPr>
          <w:rFonts w:asciiTheme="minorHAnsi" w:hAnsiTheme="minorHAnsi" w:cstheme="minorHAnsi"/>
        </w:rPr>
        <w:t xml:space="preserve">in eluates from </w:t>
      </w:r>
      <w:r w:rsidR="00724CF0" w:rsidRPr="00B37D34">
        <w:rPr>
          <w:rFonts w:asciiTheme="minorHAnsi" w:hAnsiTheme="minorHAnsi" w:cstheme="minorHAnsi"/>
        </w:rPr>
        <w:t>release</w:t>
      </w:r>
      <w:r w:rsidR="004575C9" w:rsidRPr="00B37D34">
        <w:rPr>
          <w:rFonts w:asciiTheme="minorHAnsi" w:hAnsiTheme="minorHAnsi" w:cstheme="minorHAnsi"/>
        </w:rPr>
        <w:t xml:space="preserve"> experiments run at q = 1 mm h</w:t>
      </w:r>
      <w:r w:rsidR="004575C9" w:rsidRPr="00B37D34">
        <w:rPr>
          <w:rFonts w:asciiTheme="minorHAnsi" w:hAnsiTheme="minorHAnsi" w:cstheme="minorHAnsi"/>
          <w:vertAlign w:val="superscript"/>
        </w:rPr>
        <w:t>-1</w:t>
      </w:r>
      <w:r w:rsidR="004575C9" w:rsidRPr="00B37D34">
        <w:rPr>
          <w:rFonts w:asciiTheme="minorHAnsi" w:hAnsiTheme="minorHAnsi" w:cstheme="minorHAnsi"/>
        </w:rPr>
        <w:t xml:space="preserve"> (</w:t>
      </w:r>
      <w:r w:rsidR="006B658C" w:rsidRPr="00B37D34">
        <w:rPr>
          <w:rFonts w:asciiTheme="minorHAnsi" w:hAnsiTheme="minorHAnsi" w:cstheme="minorHAnsi"/>
        </w:rPr>
        <w:t>a)-c)</w:t>
      </w:r>
      <w:r w:rsidR="004575C9" w:rsidRPr="00B37D34">
        <w:rPr>
          <w:rFonts w:asciiTheme="minorHAnsi" w:hAnsiTheme="minorHAnsi" w:cstheme="minorHAnsi"/>
        </w:rPr>
        <w:t>) and q = 10 mm h</w:t>
      </w:r>
      <w:r w:rsidR="004575C9" w:rsidRPr="00B37D34">
        <w:rPr>
          <w:rFonts w:asciiTheme="minorHAnsi" w:hAnsiTheme="minorHAnsi" w:cstheme="minorHAnsi"/>
          <w:vertAlign w:val="superscript"/>
        </w:rPr>
        <w:t>-1</w:t>
      </w:r>
      <w:r w:rsidR="004575C9" w:rsidRPr="00B37D34">
        <w:rPr>
          <w:rFonts w:asciiTheme="minorHAnsi" w:hAnsiTheme="minorHAnsi" w:cstheme="minorHAnsi"/>
        </w:rPr>
        <w:t xml:space="preserve"> (</w:t>
      </w:r>
      <w:r w:rsidR="006B658C" w:rsidRPr="00B37D34">
        <w:rPr>
          <w:rFonts w:asciiTheme="minorHAnsi" w:hAnsiTheme="minorHAnsi" w:cstheme="minorHAnsi"/>
        </w:rPr>
        <w:t>d)-f)</w:t>
      </w:r>
      <w:r w:rsidR="004575C9" w:rsidRPr="00B37D34">
        <w:rPr>
          <w:rFonts w:asciiTheme="minorHAnsi" w:hAnsiTheme="minorHAnsi" w:cstheme="minorHAnsi"/>
        </w:rPr>
        <w:t xml:space="preserve">) with </w:t>
      </w:r>
      <w:r w:rsidR="00C21080" w:rsidRPr="00B37D34">
        <w:rPr>
          <w:rFonts w:asciiTheme="minorHAnsi" w:hAnsiTheme="minorHAnsi" w:cstheme="minorHAnsi"/>
        </w:rPr>
        <w:t xml:space="preserve">three soil cylinders taken from the AE horizon of a Dystric Arenosol. Arrows indicate flow interruptions and their </w:t>
      </w:r>
      <w:r w:rsidR="004D3660" w:rsidRPr="00B37D34">
        <w:rPr>
          <w:rFonts w:asciiTheme="minorHAnsi" w:hAnsiTheme="minorHAnsi" w:cstheme="minorHAnsi"/>
        </w:rPr>
        <w:t>duration in days</w:t>
      </w:r>
      <w:r w:rsidR="00C21080" w:rsidRPr="00B37D34">
        <w:rPr>
          <w:rFonts w:asciiTheme="minorHAnsi" w:hAnsiTheme="minorHAnsi" w:cstheme="minorHAnsi"/>
        </w:rPr>
        <w:t>.</w:t>
      </w:r>
    </w:p>
    <w:p w14:paraId="13091F6D" w14:textId="62362C3A" w:rsidR="00456882" w:rsidRPr="00B37D34" w:rsidRDefault="00D53C57" w:rsidP="00F858D2">
      <w:pPr>
        <w:rPr>
          <w:lang w:val="en-GB"/>
        </w:rPr>
      </w:pPr>
      <w:r w:rsidRPr="00B37D34">
        <w:rPr>
          <w:noProof/>
          <w:lang w:val="en-IN" w:eastAsia="en-IN"/>
        </w:rPr>
        <w:lastRenderedPageBreak/>
        <w:drawing>
          <wp:inline distT="0" distB="0" distL="0" distR="0" wp14:anchorId="1253864D" wp14:editId="13EDC589">
            <wp:extent cx="4285161" cy="324000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285161" cy="3240000"/>
                    </a:xfrm>
                    <a:prstGeom prst="rect">
                      <a:avLst/>
                    </a:prstGeom>
                    <a:noFill/>
                    <a:ln>
                      <a:noFill/>
                    </a:ln>
                  </pic:spPr>
                </pic:pic>
              </a:graphicData>
            </a:graphic>
          </wp:inline>
        </w:drawing>
      </w:r>
    </w:p>
    <w:p w14:paraId="1185A359" w14:textId="5AB7ABE7" w:rsidR="002319C8" w:rsidRPr="00B37D34" w:rsidRDefault="00F858D2" w:rsidP="00EF1AFD">
      <w:pPr>
        <w:jc w:val="both"/>
        <w:rPr>
          <w:rFonts w:cs="Calibri"/>
          <w:noProof/>
          <w:szCs w:val="24"/>
          <w:lang w:val="en-GB"/>
        </w:rPr>
        <w:sectPr w:rsidR="002319C8" w:rsidRPr="00B37D34" w:rsidSect="003C75AA">
          <w:pgSz w:w="11906" w:h="16838"/>
          <w:pgMar w:top="1417" w:right="1417" w:bottom="1134" w:left="1417" w:header="708" w:footer="708" w:gutter="0"/>
          <w:cols w:space="708"/>
          <w:docGrid w:linePitch="360"/>
        </w:sectPr>
      </w:pPr>
      <w:r w:rsidRPr="00B37D34">
        <w:t>Figure S</w:t>
      </w:r>
      <w:r w:rsidRPr="00B37D34">
        <w:rPr>
          <w:i/>
        </w:rPr>
        <w:fldChar w:fldCharType="begin"/>
      </w:r>
      <w:r w:rsidRPr="00B37D34">
        <w:instrText xml:space="preserve"> SEQ Figure_S \* ARABIC </w:instrText>
      </w:r>
      <w:r w:rsidRPr="00B37D34">
        <w:rPr>
          <w:i/>
        </w:rPr>
        <w:fldChar w:fldCharType="separate"/>
      </w:r>
      <w:r w:rsidR="00B2581A" w:rsidRPr="00B37D34">
        <w:rPr>
          <w:noProof/>
        </w:rPr>
        <w:t>3</w:t>
      </w:r>
      <w:r w:rsidRPr="00B37D34">
        <w:rPr>
          <w:i/>
        </w:rPr>
        <w:fldChar w:fldCharType="end"/>
      </w:r>
      <w:r w:rsidRPr="00B37D34">
        <w:t>:</w:t>
      </w:r>
      <w:r w:rsidR="00C21080" w:rsidRPr="00B37D34">
        <w:t xml:space="preserve"> </w:t>
      </w:r>
      <w:r w:rsidR="007F255B" w:rsidRPr="00B37D34">
        <w:t xml:space="preserve">Partial </w:t>
      </w:r>
      <w:r w:rsidR="00C21080" w:rsidRPr="00B37D34">
        <w:rPr>
          <w:rFonts w:asciiTheme="minorHAnsi" w:hAnsiTheme="minorHAnsi" w:cstheme="minorHAnsi"/>
        </w:rPr>
        <w:t>X-ray diffraction patterns of</w:t>
      </w:r>
      <w:r w:rsidR="00EB4AA2" w:rsidRPr="00B37D34">
        <w:rPr>
          <w:rFonts w:asciiTheme="minorHAnsi" w:hAnsiTheme="minorHAnsi" w:cstheme="minorHAnsi"/>
        </w:rPr>
        <w:t xml:space="preserve"> </w:t>
      </w:r>
      <w:r w:rsidR="00724CF0" w:rsidRPr="00B37D34">
        <w:rPr>
          <w:rFonts w:asciiTheme="minorHAnsi" w:hAnsiTheme="minorHAnsi" w:cstheme="minorHAnsi"/>
        </w:rPr>
        <w:t xml:space="preserve">fine </w:t>
      </w:r>
      <w:r w:rsidR="00EB4AA2" w:rsidRPr="00B37D34">
        <w:rPr>
          <w:rFonts w:asciiTheme="minorHAnsi" w:hAnsiTheme="minorHAnsi" w:cstheme="minorHAnsi"/>
        </w:rPr>
        <w:t>silt and clay fractions (&lt;6</w:t>
      </w:r>
      <w:r w:rsidR="00724CF0" w:rsidRPr="00B37D34">
        <w:rPr>
          <w:rFonts w:asciiTheme="minorHAnsi" w:hAnsiTheme="minorHAnsi" w:cstheme="minorHAnsi"/>
        </w:rPr>
        <w:t>.</w:t>
      </w:r>
      <w:r w:rsidR="00C21080" w:rsidRPr="00B37D34">
        <w:rPr>
          <w:rFonts w:asciiTheme="minorHAnsi" w:hAnsiTheme="minorHAnsi" w:cstheme="minorHAnsi"/>
        </w:rPr>
        <w:t>3 µm) of the AE horizon of a Dystric Arenosol before (P1) and after irrigation with acetic acid at q = 10 mm h</w:t>
      </w:r>
      <w:r w:rsidR="00C21080" w:rsidRPr="00B37D34">
        <w:rPr>
          <w:rFonts w:asciiTheme="minorHAnsi" w:hAnsiTheme="minorHAnsi" w:cstheme="minorHAnsi"/>
          <w:vertAlign w:val="superscript"/>
        </w:rPr>
        <w:t>-1</w:t>
      </w:r>
      <w:r w:rsidR="00C21080" w:rsidRPr="00B37D34">
        <w:rPr>
          <w:rFonts w:asciiTheme="minorHAnsi" w:hAnsiTheme="minorHAnsi" w:cstheme="minorHAnsi"/>
        </w:rPr>
        <w:t xml:space="preserve"> (</w:t>
      </w:r>
      <w:r w:rsidR="00D0655E" w:rsidRPr="00B37D34">
        <w:rPr>
          <w:rFonts w:asciiTheme="minorHAnsi" w:hAnsiTheme="minorHAnsi" w:cstheme="minorHAnsi"/>
        </w:rPr>
        <w:t>f</w:t>
      </w:r>
      <w:r w:rsidR="00C21080" w:rsidRPr="00B37D34">
        <w:rPr>
          <w:rFonts w:asciiTheme="minorHAnsi" w:hAnsiTheme="minorHAnsi" w:cstheme="minorHAnsi"/>
        </w:rPr>
        <w:t>ast) and q = 1 mm h</w:t>
      </w:r>
      <w:r w:rsidR="00C21080" w:rsidRPr="00B37D34">
        <w:rPr>
          <w:rFonts w:asciiTheme="minorHAnsi" w:hAnsiTheme="minorHAnsi" w:cstheme="minorHAnsi"/>
          <w:vertAlign w:val="superscript"/>
        </w:rPr>
        <w:t>-1</w:t>
      </w:r>
      <w:r w:rsidR="00C21080" w:rsidRPr="00B37D34">
        <w:rPr>
          <w:rFonts w:asciiTheme="minorHAnsi" w:hAnsiTheme="minorHAnsi" w:cstheme="minorHAnsi"/>
        </w:rPr>
        <w:t xml:space="preserve"> (</w:t>
      </w:r>
      <w:r w:rsidR="00D0655E" w:rsidRPr="00B37D34">
        <w:rPr>
          <w:rFonts w:asciiTheme="minorHAnsi" w:hAnsiTheme="minorHAnsi" w:cstheme="minorHAnsi"/>
        </w:rPr>
        <w:t>s</w:t>
      </w:r>
      <w:r w:rsidR="00C21080" w:rsidRPr="00B37D34">
        <w:rPr>
          <w:rFonts w:asciiTheme="minorHAnsi" w:hAnsiTheme="minorHAnsi" w:cstheme="minorHAnsi"/>
        </w:rPr>
        <w:t>low). Additional X-ray diffractograms of podzolised topsoils (P2-P5) from the study area for comparison</w:t>
      </w:r>
      <w:r w:rsidR="00C21080" w:rsidRPr="00B37D34">
        <w:rPr>
          <w:rFonts w:asciiTheme="minorHAnsi" w:hAnsiTheme="minorHAnsi" w:cstheme="minorHAnsi"/>
        </w:rPr>
        <w:fldChar w:fldCharType="begin" w:fldLock="1"/>
      </w:r>
      <w:r w:rsidR="00C21080" w:rsidRPr="00B37D34">
        <w:rPr>
          <w:rFonts w:asciiTheme="minorHAnsi" w:hAnsiTheme="minorHAnsi" w:cstheme="minorHAnsi"/>
        </w:rPr>
        <w:instrText>ADDIN CSL_CITATION {"citationItems":[{"id":"ITEM-1","itemData":{"DOI":"10.1071/SR20164","ISSN":"1838675X","abstract":"Podzols are soils that display a unique vertical distribution of soil organic matter (SOM). We hypothesise that podzolisation, as a pedogenetic process, influences or even controls content, allocation and quality of SOM. We determined soil organic carbon (SOC) and nitrogen (N) contents in six SOM fractions obtained from mineral horizons of five soils with increasing degree of podzolisation: sand and stable aggregates (S + A), particulate organic matter (POM) &gt; 63 µm and &lt;63 µm, silt and clay (s + c), resistant SOC and dissolved organic matter. We applied infrared spectroscopy to evaluate SOM decomposition state, relative abundance of functional groups and SOM-metal complexation. In topsoil horizons, relative SOC allocation shifted from the larger to the smaller size POM fraction with increasing podzolisation. Accompanied with size reduction, the POM &lt; 63 µm fraction was progressively less decomposed, as derived from infrared spectroscopy and C: N ratios. In illuvial subsoils, the proportion of SOC in the S + A fraction increased with increasing podzolisation, implying SOM accumulation in aggregates and coatings on sand grains. Elevated abundance of carboxylate and aromatic C in the s + c fractions of subsoil horizons indicated their preferred sorption. Additionally, metal-carboxyl complexation increased during podzolisation.","author":[{"dropping-particle":"","family":"Krettek","given":"Agnes","non-dropping-particle":"","parse-names":false,"suffix":""},{"dropping-particle":"","family":"Herrmann","given":"Ludger","non-dropping-particle":"","parse-names":false,"suffix":""},{"dropping-particle":"","family":"Rennert","given":"Thilo","non-dropping-particle":"","parse-names":false,"suffix":""}],"container-title":"Soil Research","id":"ITEM-1","issue":"8","issued":{"date-parts":[["2020"]]},"page":"713-725","title":"Podzolisation affects the spatial allocation and chemical composition of soil organic matter fractions","type":"article-journal","volume":"58"},"uris":["http://www.mendeley.com/documents/?uuid=d30616a2-2a92-4c2a-9973-4e443f7937a9"]}],"mendeley":{"formattedCitation":"&lt;sup&gt;1&lt;/sup&gt;","plainTextFormattedCitation":"1"},"properties":{"noteIndex":0},"schema":"https://github.com/citation-style-language/schema/raw/master/csl-citation.json"}</w:instrText>
      </w:r>
      <w:r w:rsidR="00C21080" w:rsidRPr="00B37D34">
        <w:rPr>
          <w:rFonts w:asciiTheme="minorHAnsi" w:hAnsiTheme="minorHAnsi" w:cstheme="minorHAnsi"/>
        </w:rPr>
        <w:fldChar w:fldCharType="separate"/>
      </w:r>
      <w:r w:rsidR="00C21080" w:rsidRPr="00B37D34">
        <w:rPr>
          <w:rFonts w:asciiTheme="minorHAnsi" w:hAnsiTheme="minorHAnsi" w:cstheme="minorHAnsi"/>
          <w:noProof/>
          <w:vertAlign w:val="superscript"/>
        </w:rPr>
        <w:t>1</w:t>
      </w:r>
      <w:r w:rsidR="00C21080" w:rsidRPr="00B37D34">
        <w:rPr>
          <w:rFonts w:asciiTheme="minorHAnsi" w:hAnsiTheme="minorHAnsi" w:cstheme="minorHAnsi"/>
        </w:rPr>
        <w:fldChar w:fldCharType="end"/>
      </w:r>
      <w:r w:rsidR="00C21080" w:rsidRPr="00B37D34">
        <w:rPr>
          <w:rFonts w:asciiTheme="minorHAnsi" w:hAnsiTheme="minorHAnsi" w:cstheme="minorHAnsi"/>
        </w:rPr>
        <w:t>.</w:t>
      </w:r>
      <w:r w:rsidRPr="00B37D34">
        <w:t xml:space="preserve"> </w:t>
      </w:r>
    </w:p>
    <w:p w14:paraId="21EA254F" w14:textId="4970776A" w:rsidR="00460CC6" w:rsidRPr="00B37D34" w:rsidRDefault="003E2373" w:rsidP="00460CC6">
      <w:pPr>
        <w:pStyle w:val="ListParagraph"/>
        <w:ind w:left="357"/>
        <w:rPr>
          <w:rFonts w:cs="Calibri"/>
          <w:noProof/>
          <w:szCs w:val="24"/>
          <w:lang w:val="en-GB"/>
        </w:rPr>
      </w:pPr>
      <w:r w:rsidRPr="00B37D34">
        <w:rPr>
          <w:rFonts w:cs="Calibri"/>
          <w:noProof/>
          <w:szCs w:val="24"/>
          <w:lang w:val="en-IN" w:eastAsia="en-IN"/>
        </w:rPr>
        <w:lastRenderedPageBreak/>
        <w:drawing>
          <wp:inline distT="0" distB="0" distL="0" distR="0" wp14:anchorId="358F74F9" wp14:editId="6D447D66">
            <wp:extent cx="4281118" cy="3240000"/>
            <wp:effectExtent l="0" t="0" r="5715" b="0"/>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281118" cy="3240000"/>
                    </a:xfrm>
                    <a:prstGeom prst="rect">
                      <a:avLst/>
                    </a:prstGeom>
                    <a:noFill/>
                    <a:ln>
                      <a:noFill/>
                    </a:ln>
                  </pic:spPr>
                </pic:pic>
              </a:graphicData>
            </a:graphic>
          </wp:inline>
        </w:drawing>
      </w:r>
      <w:r w:rsidRPr="00B37D34">
        <w:rPr>
          <w:rFonts w:cs="Calibri"/>
          <w:noProof/>
          <w:szCs w:val="24"/>
          <w:lang w:val="en-IN" w:eastAsia="en-IN"/>
        </w:rPr>
        <w:drawing>
          <wp:inline distT="0" distB="0" distL="0" distR="0" wp14:anchorId="6116F0C7" wp14:editId="6A2A9FB9">
            <wp:extent cx="4281118" cy="3240000"/>
            <wp:effectExtent l="0" t="0" r="5715" b="0"/>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81118" cy="3240000"/>
                    </a:xfrm>
                    <a:prstGeom prst="rect">
                      <a:avLst/>
                    </a:prstGeom>
                    <a:noFill/>
                    <a:ln>
                      <a:noFill/>
                    </a:ln>
                  </pic:spPr>
                </pic:pic>
              </a:graphicData>
            </a:graphic>
          </wp:inline>
        </w:drawing>
      </w:r>
      <w:r w:rsidRPr="00B37D34">
        <w:rPr>
          <w:rFonts w:cs="Calibri"/>
          <w:noProof/>
          <w:szCs w:val="24"/>
          <w:lang w:val="en-IN" w:eastAsia="en-IN"/>
        </w:rPr>
        <w:lastRenderedPageBreak/>
        <w:drawing>
          <wp:inline distT="0" distB="0" distL="0" distR="0" wp14:anchorId="08B4A1E7" wp14:editId="691FA9AF">
            <wp:extent cx="4281118" cy="3240000"/>
            <wp:effectExtent l="0" t="0" r="5715"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81118" cy="3240000"/>
                    </a:xfrm>
                    <a:prstGeom prst="rect">
                      <a:avLst/>
                    </a:prstGeom>
                    <a:noFill/>
                    <a:ln>
                      <a:noFill/>
                    </a:ln>
                  </pic:spPr>
                </pic:pic>
              </a:graphicData>
            </a:graphic>
          </wp:inline>
        </w:drawing>
      </w:r>
    </w:p>
    <w:p w14:paraId="656480C5" w14:textId="2C204ED7" w:rsidR="00460CC6" w:rsidRPr="00B37D34" w:rsidRDefault="00460CC6" w:rsidP="00EF1AFD">
      <w:pPr>
        <w:pStyle w:val="ListParagraph"/>
        <w:ind w:left="357"/>
        <w:jc w:val="both"/>
        <w:rPr>
          <w:rFonts w:cs="Calibri"/>
          <w:noProof/>
          <w:szCs w:val="24"/>
          <w:lang w:val="en-GB"/>
        </w:rPr>
        <w:sectPr w:rsidR="00460CC6" w:rsidRPr="00B37D34" w:rsidSect="00AA45E4">
          <w:pgSz w:w="11906" w:h="16838"/>
          <w:pgMar w:top="1417" w:right="1417" w:bottom="1134" w:left="1417" w:header="708" w:footer="708" w:gutter="0"/>
          <w:cols w:space="708"/>
          <w:docGrid w:linePitch="360"/>
        </w:sectPr>
      </w:pPr>
      <w:r w:rsidRPr="00B37D34">
        <w:t>Figure S</w:t>
      </w:r>
      <w:r w:rsidRPr="00B37D34">
        <w:rPr>
          <w:i/>
        </w:rPr>
        <w:fldChar w:fldCharType="begin"/>
      </w:r>
      <w:r w:rsidRPr="00B37D34">
        <w:instrText xml:space="preserve"> SEQ Figure_S \* ARABIC </w:instrText>
      </w:r>
      <w:r w:rsidRPr="00B37D34">
        <w:rPr>
          <w:i/>
        </w:rPr>
        <w:fldChar w:fldCharType="separate"/>
      </w:r>
      <w:r w:rsidR="00B2581A" w:rsidRPr="00B37D34">
        <w:rPr>
          <w:noProof/>
        </w:rPr>
        <w:t>4</w:t>
      </w:r>
      <w:r w:rsidRPr="00B37D34">
        <w:rPr>
          <w:i/>
        </w:rPr>
        <w:fldChar w:fldCharType="end"/>
      </w:r>
      <w:r w:rsidRPr="00B37D34">
        <w:t xml:space="preserve">: </w:t>
      </w:r>
      <w:r w:rsidRPr="00B37D34">
        <w:rPr>
          <w:rFonts w:asciiTheme="minorHAnsi" w:hAnsiTheme="minorHAnsi" w:cstheme="minorHAnsi"/>
        </w:rPr>
        <w:t xml:space="preserve">Exemplary diffuse reflectance </w:t>
      </w:r>
      <w:r w:rsidR="007E42E3" w:rsidRPr="00B37D34">
        <w:rPr>
          <w:rFonts w:asciiTheme="minorHAnsi" w:hAnsiTheme="minorHAnsi" w:cstheme="minorHAnsi"/>
        </w:rPr>
        <w:t xml:space="preserve">infrared </w:t>
      </w:r>
      <w:r w:rsidRPr="00B37D34">
        <w:rPr>
          <w:rFonts w:asciiTheme="minorHAnsi" w:hAnsiTheme="minorHAnsi" w:cstheme="minorHAnsi"/>
        </w:rPr>
        <w:t>Fourier transform spectra of freeze-dried composite solutions taken after a) 1-10</w:t>
      </w:r>
      <w:r w:rsidR="004063EF" w:rsidRPr="00B37D34">
        <w:rPr>
          <w:rFonts w:asciiTheme="minorHAnsi" w:hAnsiTheme="minorHAnsi" w:cstheme="minorHAnsi"/>
        </w:rPr>
        <w:t xml:space="preserve"> pore volumes</w:t>
      </w:r>
      <w:r w:rsidRPr="00B37D34">
        <w:rPr>
          <w:rFonts w:asciiTheme="minorHAnsi" w:hAnsiTheme="minorHAnsi" w:cstheme="minorHAnsi"/>
        </w:rPr>
        <w:t>, b) 11-20</w:t>
      </w:r>
      <w:r w:rsidR="004063EF" w:rsidRPr="00B37D34">
        <w:rPr>
          <w:rFonts w:asciiTheme="minorHAnsi" w:hAnsiTheme="minorHAnsi" w:cstheme="minorHAnsi"/>
        </w:rPr>
        <w:t xml:space="preserve"> pore volumes</w:t>
      </w:r>
      <w:r w:rsidRPr="00B37D34">
        <w:rPr>
          <w:rFonts w:asciiTheme="minorHAnsi" w:hAnsiTheme="minorHAnsi" w:cstheme="minorHAnsi"/>
        </w:rPr>
        <w:t xml:space="preserve">, </w:t>
      </w:r>
      <w:r w:rsidR="004063EF" w:rsidRPr="00B37D34">
        <w:rPr>
          <w:rFonts w:asciiTheme="minorHAnsi" w:hAnsiTheme="minorHAnsi" w:cstheme="minorHAnsi"/>
        </w:rPr>
        <w:t xml:space="preserve">and </w:t>
      </w:r>
      <w:r w:rsidRPr="00B37D34">
        <w:rPr>
          <w:rFonts w:asciiTheme="minorHAnsi" w:hAnsiTheme="minorHAnsi" w:cstheme="minorHAnsi"/>
        </w:rPr>
        <w:t xml:space="preserve">c) 31-40 </w:t>
      </w:r>
      <w:r w:rsidR="004063EF" w:rsidRPr="00B37D34">
        <w:rPr>
          <w:rFonts w:asciiTheme="minorHAnsi" w:hAnsiTheme="minorHAnsi" w:cstheme="minorHAnsi"/>
        </w:rPr>
        <w:t xml:space="preserve">pore volumes </w:t>
      </w:r>
      <w:r w:rsidRPr="00B37D34">
        <w:rPr>
          <w:rFonts w:asciiTheme="minorHAnsi" w:hAnsiTheme="minorHAnsi" w:cstheme="minorHAnsi"/>
        </w:rPr>
        <w:t xml:space="preserve">of the fast run prior to adsorption (DOCi) and of filtrates after adsorption experiments with Al-montmorillonite </w:t>
      </w:r>
      <w:r w:rsidRPr="00B37D34">
        <w:rPr>
          <w:rFonts w:asciiTheme="minorHAnsi" w:hAnsiTheme="minorHAnsi" w:cstheme="minorHAnsi"/>
          <w:lang w:val="en-GB"/>
        </w:rPr>
        <w:t>(Al-M) and goethite (G). All spectra were normalised to the band at 1610 cm</w:t>
      </w:r>
      <w:r w:rsidRPr="00B37D34">
        <w:rPr>
          <w:rFonts w:asciiTheme="minorHAnsi" w:hAnsiTheme="minorHAnsi" w:cstheme="minorHAnsi"/>
          <w:vertAlign w:val="superscript"/>
          <w:lang w:val="en-GB"/>
        </w:rPr>
        <w:t>-1</w:t>
      </w:r>
      <w:r w:rsidRPr="00B37D34">
        <w:rPr>
          <w:rFonts w:asciiTheme="minorHAnsi" w:hAnsiTheme="minorHAnsi" w:cstheme="minorHAnsi"/>
          <w:lang w:val="en-GB"/>
        </w:rPr>
        <w:t>.</w:t>
      </w:r>
    </w:p>
    <w:p w14:paraId="14E15A35" w14:textId="2E5F87D1" w:rsidR="007500D5" w:rsidRPr="00B37D34" w:rsidRDefault="00691D5B" w:rsidP="00691D5B">
      <w:pPr>
        <w:pStyle w:val="ListParagraph"/>
        <w:numPr>
          <w:ilvl w:val="0"/>
          <w:numId w:val="2"/>
        </w:numPr>
        <w:ind w:left="357" w:hanging="357"/>
        <w:rPr>
          <w:rFonts w:ascii="Helvetica" w:hAnsi="Helvetica" w:cs="Helvetica"/>
          <w:sz w:val="20"/>
          <w:szCs w:val="20"/>
          <w:lang w:val="en-GB"/>
        </w:rPr>
      </w:pPr>
      <w:r w:rsidRPr="00B37D34">
        <w:rPr>
          <w:rFonts w:cs="Calibri"/>
          <w:noProof/>
          <w:szCs w:val="24"/>
          <w:lang w:val="en-GB"/>
        </w:rPr>
        <w:lastRenderedPageBreak/>
        <w:t xml:space="preserve">Krettek, A., Herrmann, L. &amp; Rennert, T. Podzolisation affects the spatial allocation and chemical composition of soil organic matter fractions. </w:t>
      </w:r>
      <w:r w:rsidRPr="00B37D34">
        <w:rPr>
          <w:rFonts w:cs="Calibri"/>
          <w:i/>
          <w:iCs/>
          <w:noProof/>
          <w:szCs w:val="24"/>
          <w:lang w:val="en-GB"/>
        </w:rPr>
        <w:t>Soil Res.</w:t>
      </w:r>
      <w:r w:rsidRPr="00B37D34">
        <w:rPr>
          <w:rFonts w:cs="Calibri"/>
          <w:noProof/>
          <w:szCs w:val="24"/>
          <w:lang w:val="en-GB"/>
        </w:rPr>
        <w:t xml:space="preserve"> </w:t>
      </w:r>
      <w:r w:rsidRPr="00B37D34">
        <w:rPr>
          <w:rFonts w:cs="Calibri"/>
          <w:b/>
          <w:bCs/>
          <w:noProof/>
          <w:szCs w:val="24"/>
          <w:lang w:val="en-GB"/>
        </w:rPr>
        <w:t>58</w:t>
      </w:r>
      <w:r w:rsidRPr="00B37D34">
        <w:rPr>
          <w:rFonts w:cs="Calibri"/>
          <w:noProof/>
          <w:szCs w:val="24"/>
          <w:lang w:val="en-GB"/>
        </w:rPr>
        <w:t>, 713–725 (2020).</w:t>
      </w:r>
    </w:p>
    <w:sectPr w:rsidR="007500D5" w:rsidRPr="00B37D34" w:rsidSect="003C75AA">
      <w:pgSz w:w="11906" w:h="16838"/>
      <w:pgMar w:top="1417" w:right="1417" w:bottom="1134"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2C256A" w16cex:dateUtc="2021-04-22T14:4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A291602" w16cid:durableId="242C256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3380D9" w14:textId="77777777" w:rsidR="00A11D9A" w:rsidRDefault="00A11D9A">
      <w:pPr>
        <w:spacing w:after="0" w:line="240" w:lineRule="auto"/>
      </w:pPr>
      <w:r>
        <w:separator/>
      </w:r>
    </w:p>
  </w:endnote>
  <w:endnote w:type="continuationSeparator" w:id="0">
    <w:p w14:paraId="4879EA2F" w14:textId="77777777" w:rsidR="00A11D9A" w:rsidRDefault="00A11D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Neue">
    <w:altName w:val="Corbel"/>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Helvetica">
    <w:panose1 w:val="000B0500000000000000"/>
    <w:charset w:val="00"/>
    <w:family w:val="auto"/>
    <w:pitch w:val="variable"/>
    <w:sig w:usb0="20000287" w:usb1="00000000" w:usb2="00000000" w:usb3="00000000" w:csb0="0000019F" w:csb1="00000000"/>
  </w:font>
  <w:font w:name="Symbol">
    <w:panose1 w:val="05050102010706020507"/>
    <w:charset w:val="02"/>
    <w:family w:val="roman"/>
    <w:pitch w:val="variable"/>
    <w:sig w:usb0="00000083" w:usb1="10000000" w:usb2="00000000" w:usb3="00000000" w:csb0="80000009"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3737DC" w14:textId="77777777" w:rsidR="00A11D9A" w:rsidRDefault="00A11D9A">
      <w:pPr>
        <w:spacing w:after="0" w:line="240" w:lineRule="auto"/>
      </w:pPr>
      <w:r>
        <w:separator/>
      </w:r>
    </w:p>
  </w:footnote>
  <w:footnote w:type="continuationSeparator" w:id="0">
    <w:p w14:paraId="23311F54" w14:textId="77777777" w:rsidR="00A11D9A" w:rsidRDefault="00A11D9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DECBA9" w14:textId="77777777" w:rsidR="00384F57" w:rsidRDefault="00B37D34">
    <w:pPr>
      <w:pStyle w:val="Kopf-undFuzeilen"/>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E3117"/>
    <w:multiLevelType w:val="hybridMultilevel"/>
    <w:tmpl w:val="AEF8EAFA"/>
    <w:lvl w:ilvl="0" w:tplc="8F763724">
      <w:start w:val="1"/>
      <w:numFmt w:val="decimal"/>
      <w:lvlText w:val="%1."/>
      <w:lvlJc w:val="left"/>
      <w:pPr>
        <w:ind w:left="720" w:hanging="360"/>
      </w:pPr>
      <w:rPr>
        <w:rFonts w:ascii="Calibri" w:hAnsi="Calibri" w:cs="Calibri" w:hint="default"/>
        <w:sz w:val="2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65663397"/>
    <w:multiLevelType w:val="hybridMultilevel"/>
    <w:tmpl w:val="BB8ECB8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1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082F"/>
    <w:rsid w:val="0003744A"/>
    <w:rsid w:val="0007316C"/>
    <w:rsid w:val="000B0523"/>
    <w:rsid w:val="000B1BE4"/>
    <w:rsid w:val="00105575"/>
    <w:rsid w:val="00144932"/>
    <w:rsid w:val="001763C3"/>
    <w:rsid w:val="00176558"/>
    <w:rsid w:val="00177B74"/>
    <w:rsid w:val="0019119D"/>
    <w:rsid w:val="001D3B0B"/>
    <w:rsid w:val="001D4216"/>
    <w:rsid w:val="001E1961"/>
    <w:rsid w:val="0020283B"/>
    <w:rsid w:val="002036FA"/>
    <w:rsid w:val="00214B37"/>
    <w:rsid w:val="002319C8"/>
    <w:rsid w:val="00260E91"/>
    <w:rsid w:val="0027462A"/>
    <w:rsid w:val="002807DB"/>
    <w:rsid w:val="002C1DE1"/>
    <w:rsid w:val="002F2F83"/>
    <w:rsid w:val="003161E0"/>
    <w:rsid w:val="00317122"/>
    <w:rsid w:val="0034289F"/>
    <w:rsid w:val="00343549"/>
    <w:rsid w:val="00353E55"/>
    <w:rsid w:val="0039654B"/>
    <w:rsid w:val="003C75AA"/>
    <w:rsid w:val="003E2373"/>
    <w:rsid w:val="004063EF"/>
    <w:rsid w:val="00407872"/>
    <w:rsid w:val="00433A32"/>
    <w:rsid w:val="00456882"/>
    <w:rsid w:val="004575C9"/>
    <w:rsid w:val="00460CC6"/>
    <w:rsid w:val="00482BF6"/>
    <w:rsid w:val="004864D0"/>
    <w:rsid w:val="004C0B84"/>
    <w:rsid w:val="004C777F"/>
    <w:rsid w:val="004D0564"/>
    <w:rsid w:val="004D3660"/>
    <w:rsid w:val="004F2FE9"/>
    <w:rsid w:val="00502B34"/>
    <w:rsid w:val="00503098"/>
    <w:rsid w:val="00536B40"/>
    <w:rsid w:val="005424DC"/>
    <w:rsid w:val="005850A1"/>
    <w:rsid w:val="00590276"/>
    <w:rsid w:val="005B0F69"/>
    <w:rsid w:val="005C1B7C"/>
    <w:rsid w:val="005C68CD"/>
    <w:rsid w:val="005D029D"/>
    <w:rsid w:val="00640DE1"/>
    <w:rsid w:val="00665620"/>
    <w:rsid w:val="006669FF"/>
    <w:rsid w:val="00671796"/>
    <w:rsid w:val="00691D5B"/>
    <w:rsid w:val="00696B15"/>
    <w:rsid w:val="006A2B55"/>
    <w:rsid w:val="006B14CD"/>
    <w:rsid w:val="006B658C"/>
    <w:rsid w:val="00723058"/>
    <w:rsid w:val="00724CF0"/>
    <w:rsid w:val="00724F76"/>
    <w:rsid w:val="00731AEB"/>
    <w:rsid w:val="007500D5"/>
    <w:rsid w:val="007C3126"/>
    <w:rsid w:val="007D6747"/>
    <w:rsid w:val="007E42E3"/>
    <w:rsid w:val="007F255B"/>
    <w:rsid w:val="008726B0"/>
    <w:rsid w:val="008B1D09"/>
    <w:rsid w:val="00901D8A"/>
    <w:rsid w:val="009124FC"/>
    <w:rsid w:val="00912C30"/>
    <w:rsid w:val="00915C9C"/>
    <w:rsid w:val="00925689"/>
    <w:rsid w:val="00970071"/>
    <w:rsid w:val="0097638B"/>
    <w:rsid w:val="00981209"/>
    <w:rsid w:val="009D763A"/>
    <w:rsid w:val="009E52C8"/>
    <w:rsid w:val="00A11D9A"/>
    <w:rsid w:val="00A42ABF"/>
    <w:rsid w:val="00A675E5"/>
    <w:rsid w:val="00AA3C26"/>
    <w:rsid w:val="00AA45E4"/>
    <w:rsid w:val="00AB0252"/>
    <w:rsid w:val="00AB39C0"/>
    <w:rsid w:val="00AC7054"/>
    <w:rsid w:val="00AD1269"/>
    <w:rsid w:val="00AD2911"/>
    <w:rsid w:val="00B05806"/>
    <w:rsid w:val="00B2581A"/>
    <w:rsid w:val="00B37D34"/>
    <w:rsid w:val="00B51507"/>
    <w:rsid w:val="00B6411C"/>
    <w:rsid w:val="00BB0232"/>
    <w:rsid w:val="00BB5200"/>
    <w:rsid w:val="00BB6805"/>
    <w:rsid w:val="00BC6757"/>
    <w:rsid w:val="00C04C6D"/>
    <w:rsid w:val="00C21080"/>
    <w:rsid w:val="00C9713A"/>
    <w:rsid w:val="00CA02E8"/>
    <w:rsid w:val="00CD3CB2"/>
    <w:rsid w:val="00CE30F5"/>
    <w:rsid w:val="00D0655E"/>
    <w:rsid w:val="00D06F8C"/>
    <w:rsid w:val="00D20148"/>
    <w:rsid w:val="00D275A8"/>
    <w:rsid w:val="00D53C57"/>
    <w:rsid w:val="00D54572"/>
    <w:rsid w:val="00D61148"/>
    <w:rsid w:val="00D741C9"/>
    <w:rsid w:val="00D939C6"/>
    <w:rsid w:val="00D96F76"/>
    <w:rsid w:val="00DC1C87"/>
    <w:rsid w:val="00DD0D80"/>
    <w:rsid w:val="00DD6E7C"/>
    <w:rsid w:val="00E45CA4"/>
    <w:rsid w:val="00E9082F"/>
    <w:rsid w:val="00EB4AA2"/>
    <w:rsid w:val="00EB68C3"/>
    <w:rsid w:val="00EB7EE2"/>
    <w:rsid w:val="00EF1AFD"/>
    <w:rsid w:val="00F20304"/>
    <w:rsid w:val="00F20F12"/>
    <w:rsid w:val="00F2649D"/>
    <w:rsid w:val="00F27F78"/>
    <w:rsid w:val="00F56EE5"/>
    <w:rsid w:val="00F740B1"/>
    <w:rsid w:val="00F858D2"/>
    <w:rsid w:val="00F8613C"/>
    <w:rsid w:val="00F963D6"/>
    <w:rsid w:val="00F97AE0"/>
    <w:rsid w:val="00FA163D"/>
    <w:rsid w:val="00FB4790"/>
    <w:rsid w:val="00FE0350"/>
    <w:rsid w:val="00FE3EF4"/>
    <w:rsid w:val="00FF5DD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70AE4E3"/>
  <w15:chartTrackingRefBased/>
  <w15:docId w15:val="{7F69A701-D574-4F7A-A51E-E282BBA18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806"/>
    <w:pPr>
      <w:spacing w:after="200" w:line="276" w:lineRule="auto"/>
    </w:pPr>
    <w:rPr>
      <w:rFonts w:ascii="Calibri" w:eastAsia="Calibri" w:hAnsi="Calibri" w:cs="Times New Roman"/>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B05806"/>
    <w:rPr>
      <w:color w:val="0000FF"/>
      <w:u w:val="single"/>
    </w:rPr>
  </w:style>
  <w:style w:type="table" w:styleId="TableGrid">
    <w:name w:val="Table Grid"/>
    <w:basedOn w:val="TableNormal"/>
    <w:uiPriority w:val="39"/>
    <w:rsid w:val="00D939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C6757"/>
    <w:rPr>
      <w:sz w:val="16"/>
      <w:szCs w:val="16"/>
    </w:rPr>
  </w:style>
  <w:style w:type="paragraph" w:styleId="CommentText">
    <w:name w:val="annotation text"/>
    <w:basedOn w:val="Normal"/>
    <w:link w:val="CommentTextChar"/>
    <w:uiPriority w:val="99"/>
    <w:unhideWhenUsed/>
    <w:rsid w:val="00BC6757"/>
    <w:pPr>
      <w:spacing w:line="240" w:lineRule="auto"/>
    </w:pPr>
    <w:rPr>
      <w:sz w:val="20"/>
      <w:szCs w:val="20"/>
    </w:rPr>
  </w:style>
  <w:style w:type="character" w:customStyle="1" w:styleId="CommentTextChar">
    <w:name w:val="Comment Text Char"/>
    <w:basedOn w:val="DefaultParagraphFont"/>
    <w:link w:val="CommentText"/>
    <w:uiPriority w:val="99"/>
    <w:rsid w:val="00BC6757"/>
    <w:rPr>
      <w:rFonts w:ascii="Calibri" w:eastAsia="Calibri" w:hAnsi="Calibri" w:cs="Times New Roman"/>
      <w:sz w:val="20"/>
      <w:szCs w:val="20"/>
      <w:lang w:val="es-ES"/>
    </w:rPr>
  </w:style>
  <w:style w:type="paragraph" w:styleId="CommentSubject">
    <w:name w:val="annotation subject"/>
    <w:basedOn w:val="CommentText"/>
    <w:next w:val="CommentText"/>
    <w:link w:val="CommentSubjectChar"/>
    <w:uiPriority w:val="99"/>
    <w:semiHidden/>
    <w:unhideWhenUsed/>
    <w:rsid w:val="00BC6757"/>
    <w:rPr>
      <w:b/>
      <w:bCs/>
    </w:rPr>
  </w:style>
  <w:style w:type="character" w:customStyle="1" w:styleId="CommentSubjectChar">
    <w:name w:val="Comment Subject Char"/>
    <w:basedOn w:val="CommentTextChar"/>
    <w:link w:val="CommentSubject"/>
    <w:uiPriority w:val="99"/>
    <w:semiHidden/>
    <w:rsid w:val="00BC6757"/>
    <w:rPr>
      <w:rFonts w:ascii="Calibri" w:eastAsia="Calibri" w:hAnsi="Calibri" w:cs="Times New Roman"/>
      <w:b/>
      <w:bCs/>
      <w:sz w:val="20"/>
      <w:szCs w:val="20"/>
      <w:lang w:val="es-ES"/>
    </w:rPr>
  </w:style>
  <w:style w:type="paragraph" w:styleId="BalloonText">
    <w:name w:val="Balloon Text"/>
    <w:basedOn w:val="Normal"/>
    <w:link w:val="BalloonTextChar"/>
    <w:uiPriority w:val="99"/>
    <w:semiHidden/>
    <w:unhideWhenUsed/>
    <w:rsid w:val="00BC675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6757"/>
    <w:rPr>
      <w:rFonts w:ascii="Segoe UI" w:eastAsia="Calibri" w:hAnsi="Segoe UI" w:cs="Segoe UI"/>
      <w:sz w:val="18"/>
      <w:szCs w:val="18"/>
      <w:lang w:val="es-ES"/>
    </w:rPr>
  </w:style>
  <w:style w:type="paragraph" w:customStyle="1" w:styleId="Kopf-undFuzeilen">
    <w:name w:val="Kopf- und Fußzeilen"/>
    <w:rsid w:val="004F2FE9"/>
    <w:pPr>
      <w:pBdr>
        <w:top w:val="nil"/>
        <w:left w:val="nil"/>
        <w:bottom w:val="nil"/>
        <w:right w:val="nil"/>
        <w:between w:val="nil"/>
        <w:bar w:val="nil"/>
      </w:pBdr>
      <w:tabs>
        <w:tab w:val="right" w:pos="9020"/>
      </w:tabs>
      <w:spacing w:after="0" w:line="240" w:lineRule="auto"/>
    </w:pPr>
    <w:rPr>
      <w:rFonts w:ascii="Helvetica Neue" w:eastAsia="Arial Unicode MS" w:hAnsi="Helvetica Neue" w:cs="Arial Unicode MS"/>
      <w:color w:val="000000"/>
      <w:sz w:val="24"/>
      <w:szCs w:val="24"/>
      <w:bdr w:val="nil"/>
      <w:lang w:eastAsia="de-DE"/>
      <w14:textOutline w14:w="0" w14:cap="flat" w14:cmpd="sng" w14:algn="ctr">
        <w14:noFill/>
        <w14:prstDash w14:val="solid"/>
        <w14:bevel/>
      </w14:textOutline>
    </w:rPr>
  </w:style>
  <w:style w:type="character" w:customStyle="1" w:styleId="Ohne">
    <w:name w:val="Ohne"/>
    <w:rsid w:val="004F2FE9"/>
  </w:style>
  <w:style w:type="character" w:styleId="LineNumber">
    <w:name w:val="line number"/>
    <w:basedOn w:val="DefaultParagraphFont"/>
    <w:uiPriority w:val="99"/>
    <w:semiHidden/>
    <w:unhideWhenUsed/>
    <w:rsid w:val="004F2FE9"/>
  </w:style>
  <w:style w:type="paragraph" w:styleId="Caption">
    <w:name w:val="caption"/>
    <w:basedOn w:val="Normal"/>
    <w:next w:val="Normal"/>
    <w:uiPriority w:val="35"/>
    <w:unhideWhenUsed/>
    <w:qFormat/>
    <w:rsid w:val="00144932"/>
    <w:pPr>
      <w:spacing w:line="240" w:lineRule="auto"/>
    </w:pPr>
    <w:rPr>
      <w:i/>
      <w:iCs/>
      <w:color w:val="44546A" w:themeColor="text2"/>
      <w:sz w:val="18"/>
      <w:szCs w:val="18"/>
    </w:rPr>
  </w:style>
  <w:style w:type="paragraph" w:styleId="ListParagraph">
    <w:name w:val="List Paragraph"/>
    <w:basedOn w:val="Normal"/>
    <w:uiPriority w:val="34"/>
    <w:qFormat/>
    <w:rsid w:val="00691D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image" Target="media/image10.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9.e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6.emf"/><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5.emf"/><Relationship Id="rId10" Type="http://schemas.openxmlformats.org/officeDocument/2006/relationships/image" Target="media/image3.emf"/><Relationship Id="rId19" Type="http://schemas.openxmlformats.org/officeDocument/2006/relationships/image" Target="media/image11.emf"/><Relationship Id="rId31"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1.xml"/><Relationship Id="rId22" Type="http://schemas.openxmlformats.org/officeDocument/2006/relationships/image" Target="media/image14.emf"/><Relationship Id="rId30" Type="http://schemas.microsoft.com/office/2016/09/relationships/commentsIds" Target="commentsId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AC345D-9882-4069-A002-22E3610E78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638</Words>
  <Characters>3637</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4267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Agnes Krettek</dc:creator>
  <cp:keywords/>
  <dc:description/>
  <cp:lastModifiedBy>Tejaswani M.T.</cp:lastModifiedBy>
  <cp:revision>4</cp:revision>
  <dcterms:created xsi:type="dcterms:W3CDTF">2021-07-07T12:34:00Z</dcterms:created>
  <dcterms:modified xsi:type="dcterms:W3CDTF">2021-09-24T09:40:00Z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http://www.zotero.org/styles/modern-humanities-research-association</vt:lpwstr>
  </property>
  <property fmtid="{D5CDD505-2E9C-101B-9397-08002B2CF9AE}" pid="13" name="Mendeley Recent Style Name 5_1">
    <vt:lpwstr>Modern Humanities Research Association 3rd edition (note with bibliography)</vt:lpwstr>
  </property>
  <property fmtid="{D5CDD505-2E9C-101B-9397-08002B2CF9AE}" pid="14" name="Mendeley Recent Style Id 6_1">
    <vt:lpwstr>http://www.zotero.org/styles/modern-language-association</vt:lpwstr>
  </property>
  <property fmtid="{D5CDD505-2E9C-101B-9397-08002B2CF9AE}" pid="15" name="Mendeley Recent Style Name 6_1">
    <vt:lpwstr>Modern Language Association 8th edition</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http://www.zotero.org/styles/scientific-reports</vt:lpwstr>
  </property>
  <property fmtid="{D5CDD505-2E9C-101B-9397-08002B2CF9AE}" pid="19" name="Mendeley Recent Style Name 8_1">
    <vt:lpwstr>Scientific Reports</vt:lpwstr>
  </property>
  <property fmtid="{D5CDD505-2E9C-101B-9397-08002B2CF9AE}" pid="20" name="Mendeley Recent Style Id 9_1">
    <vt:lpwstr>http://www.zotero.org/styles/soil-research</vt:lpwstr>
  </property>
  <property fmtid="{D5CDD505-2E9C-101B-9397-08002B2CF9AE}" pid="21" name="Mendeley Recent Style Name 9_1">
    <vt:lpwstr>Soil Research</vt:lpwstr>
  </property>
  <property fmtid="{D5CDD505-2E9C-101B-9397-08002B2CF9AE}" pid="22" name="Mendeley Document_1">
    <vt:lpwstr>True</vt:lpwstr>
  </property>
  <property fmtid="{D5CDD505-2E9C-101B-9397-08002B2CF9AE}" pid="23" name="Mendeley Unique User Id_1">
    <vt:lpwstr>7408d3d6-3ce0-3322-8039-338028e65be7</vt:lpwstr>
  </property>
  <property fmtid="{D5CDD505-2E9C-101B-9397-08002B2CF9AE}" pid="24" name="Mendeley Citation Style_1">
    <vt:lpwstr>http://www.zotero.org/styles/scientific-reports</vt:lpwstr>
  </property>
</Properties>
</file>