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3D9BB0" w14:textId="3EC3DF94" w:rsidR="00F54ACE" w:rsidRDefault="00F54ACE">
      <w:pPr>
        <w:rPr>
          <w:lang w:val="en-US"/>
        </w:rPr>
      </w:pPr>
      <w:bookmarkStart w:id="0" w:name="_Hlk170236694"/>
      <w:bookmarkEnd w:id="0"/>
    </w:p>
    <w:p w14:paraId="2B205803" w14:textId="4C442EB9" w:rsidR="006B3774" w:rsidRDefault="00CE0F03" w:rsidP="00450359">
      <w:pPr>
        <w:jc w:val="center"/>
        <w:rPr>
          <w:rFonts w:ascii="Arial" w:hAnsi="Arial" w:cs="Arial"/>
          <w:sz w:val="28"/>
          <w:lang w:val="en-US"/>
        </w:rPr>
      </w:pPr>
      <w:r>
        <w:rPr>
          <w:rFonts w:ascii="Arial" w:hAnsi="Arial" w:cs="Arial"/>
          <w:sz w:val="28"/>
          <w:lang w:val="en-US"/>
        </w:rPr>
        <w:t>Supplements</w:t>
      </w:r>
    </w:p>
    <w:p w14:paraId="44277F85" w14:textId="77777777" w:rsidR="00C9470A" w:rsidRPr="000455F0" w:rsidRDefault="00C9470A" w:rsidP="00C9470A">
      <w:pPr>
        <w:spacing w:line="48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0455F0">
        <w:rPr>
          <w:rFonts w:ascii="Arial" w:hAnsi="Arial" w:cs="Arial"/>
          <w:b/>
          <w:bCs/>
          <w:sz w:val="24"/>
          <w:szCs w:val="24"/>
          <w:lang w:val="en-US"/>
        </w:rPr>
        <w:t>An extremely sensitive amylase activity assay and its application for the determination of the residual amylase activity in bread</w:t>
      </w:r>
    </w:p>
    <w:p w14:paraId="1B80291A" w14:textId="41CF6FE4" w:rsidR="008B5569" w:rsidRPr="00D85CC9" w:rsidRDefault="008B5569" w:rsidP="008B5569">
      <w:pPr>
        <w:spacing w:line="480" w:lineRule="auto"/>
        <w:jc w:val="center"/>
        <w:rPr>
          <w:rFonts w:ascii="Arial" w:hAnsi="Arial" w:cs="Arial"/>
        </w:rPr>
      </w:pPr>
      <w:r w:rsidRPr="00D85CC9">
        <w:rPr>
          <w:rFonts w:ascii="Arial" w:hAnsi="Arial" w:cs="Arial"/>
        </w:rPr>
        <w:t>Katrin Reichenberger, Sabine Lutz-Wahl</w:t>
      </w:r>
      <w:r w:rsidR="00974A36">
        <w:rPr>
          <w:rFonts w:ascii="Arial" w:hAnsi="Arial" w:cs="Arial"/>
        </w:rPr>
        <w:t>, Lucas Kettner</w:t>
      </w:r>
      <w:r w:rsidRPr="00D85CC9">
        <w:rPr>
          <w:rFonts w:ascii="Arial" w:hAnsi="Arial" w:cs="Arial"/>
        </w:rPr>
        <w:t xml:space="preserve"> and Lutz Fischer*</w:t>
      </w:r>
    </w:p>
    <w:p w14:paraId="1EB595C0" w14:textId="77777777" w:rsidR="008B5569" w:rsidRPr="00D85CC9" w:rsidRDefault="008B5569" w:rsidP="008B5569">
      <w:pPr>
        <w:spacing w:line="480" w:lineRule="auto"/>
        <w:jc w:val="center"/>
        <w:rPr>
          <w:rFonts w:ascii="Arial" w:hAnsi="Arial" w:cs="Arial"/>
        </w:rPr>
      </w:pPr>
    </w:p>
    <w:p w14:paraId="373EAF48" w14:textId="77777777" w:rsidR="008B5569" w:rsidRPr="003651F4" w:rsidRDefault="008B5569" w:rsidP="008B5569">
      <w:pPr>
        <w:spacing w:line="480" w:lineRule="auto"/>
        <w:jc w:val="center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 xml:space="preserve">University of Hohenheim, Institute of Food Science and Biotechnology, </w:t>
      </w:r>
    </w:p>
    <w:p w14:paraId="7AD73066" w14:textId="77777777" w:rsidR="008B5569" w:rsidRPr="003651F4" w:rsidRDefault="008B5569" w:rsidP="008B5569">
      <w:pPr>
        <w:spacing w:line="480" w:lineRule="auto"/>
        <w:jc w:val="center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 xml:space="preserve">Department of Biotechnology and Enzyme Science, </w:t>
      </w:r>
      <w:proofErr w:type="spellStart"/>
      <w:r w:rsidRPr="003651F4">
        <w:rPr>
          <w:rFonts w:ascii="Arial" w:hAnsi="Arial" w:cs="Arial"/>
          <w:lang w:val="en-US"/>
        </w:rPr>
        <w:t>Garbenstr</w:t>
      </w:r>
      <w:proofErr w:type="spellEnd"/>
      <w:r w:rsidRPr="003651F4">
        <w:rPr>
          <w:rFonts w:ascii="Arial" w:hAnsi="Arial" w:cs="Arial"/>
          <w:lang w:val="en-US"/>
        </w:rPr>
        <w:t>. 25, 70599 Stuttgart, Germany</w:t>
      </w:r>
    </w:p>
    <w:p w14:paraId="2C68B1B1" w14:textId="77777777" w:rsidR="008B5569" w:rsidRPr="003651F4" w:rsidRDefault="008B5569" w:rsidP="008B5569">
      <w:pPr>
        <w:spacing w:line="480" w:lineRule="auto"/>
        <w:jc w:val="center"/>
        <w:rPr>
          <w:rFonts w:ascii="Arial" w:hAnsi="Arial" w:cs="Arial"/>
          <w:lang w:val="en-US"/>
        </w:rPr>
      </w:pPr>
    </w:p>
    <w:p w14:paraId="477597DC" w14:textId="77777777" w:rsidR="008B5569" w:rsidRPr="003651F4" w:rsidRDefault="008B5569" w:rsidP="008B5569">
      <w:pPr>
        <w:spacing w:line="480" w:lineRule="auto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>*Corresponding author: Lutz Fischer</w:t>
      </w:r>
    </w:p>
    <w:p w14:paraId="054FB47B" w14:textId="77777777" w:rsidR="008B5569" w:rsidRPr="003651F4" w:rsidRDefault="008B5569" w:rsidP="008B5569">
      <w:pPr>
        <w:spacing w:line="480" w:lineRule="auto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>E-mail address: Lutz.Fischer@uni-hohenheim.de</w:t>
      </w:r>
    </w:p>
    <w:p w14:paraId="5DCB9931" w14:textId="77777777" w:rsidR="008B5569" w:rsidRPr="003651F4" w:rsidRDefault="008B5569" w:rsidP="008B5569">
      <w:pPr>
        <w:spacing w:line="480" w:lineRule="auto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>Tel.: +49 711 459-22311</w:t>
      </w:r>
    </w:p>
    <w:p w14:paraId="66C0C3B7" w14:textId="77777777" w:rsidR="008B5569" w:rsidRPr="003651F4" w:rsidRDefault="008B5569" w:rsidP="008B5569">
      <w:pPr>
        <w:spacing w:line="480" w:lineRule="auto"/>
        <w:rPr>
          <w:rFonts w:ascii="Arial" w:hAnsi="Arial" w:cs="Arial"/>
          <w:lang w:val="en-US"/>
        </w:rPr>
      </w:pPr>
    </w:p>
    <w:p w14:paraId="0C21384C" w14:textId="77777777" w:rsidR="008B5569" w:rsidRPr="003651F4" w:rsidRDefault="008B5569" w:rsidP="008B5569">
      <w:pPr>
        <w:spacing w:line="480" w:lineRule="auto"/>
        <w:rPr>
          <w:rFonts w:ascii="Arial" w:hAnsi="Arial" w:cs="Arial"/>
          <w:lang w:val="en-US"/>
        </w:rPr>
      </w:pPr>
      <w:r w:rsidRPr="003651F4">
        <w:rPr>
          <w:rFonts w:ascii="Arial" w:hAnsi="Arial" w:cs="Arial"/>
          <w:lang w:val="en-US"/>
        </w:rPr>
        <w:t xml:space="preserve">Keywords: </w:t>
      </w:r>
      <w:r>
        <w:rPr>
          <w:rFonts w:ascii="Arial" w:hAnsi="Arial" w:cs="Arial"/>
          <w:lang w:val="en-US"/>
        </w:rPr>
        <w:t xml:space="preserve">amylase assay, </w:t>
      </w:r>
      <w:r w:rsidRPr="002F0680">
        <w:rPr>
          <w:rFonts w:ascii="Arial" w:hAnsi="Arial" w:cs="Arial"/>
          <w:i/>
          <w:lang w:val="en-US"/>
        </w:rPr>
        <w:t>α</w:t>
      </w:r>
      <w:r>
        <w:rPr>
          <w:rFonts w:ascii="Arial" w:hAnsi="Arial" w:cs="Arial"/>
          <w:lang w:val="en-US"/>
        </w:rPr>
        <w:t>-</w:t>
      </w:r>
      <w:r w:rsidRPr="003651F4">
        <w:rPr>
          <w:rFonts w:ascii="Arial" w:hAnsi="Arial" w:cs="Arial"/>
          <w:lang w:val="en-US"/>
        </w:rPr>
        <w:t>amylase, thermal stability, residual activity, bread baking, enzyme declaration, food enzyme</w:t>
      </w:r>
    </w:p>
    <w:p w14:paraId="717975E7" w14:textId="77777777" w:rsidR="008B5569" w:rsidRPr="003651F4" w:rsidRDefault="008B5569" w:rsidP="008B5569">
      <w:pPr>
        <w:spacing w:line="480" w:lineRule="auto"/>
        <w:rPr>
          <w:rFonts w:ascii="Arial" w:hAnsi="Arial" w:cs="Arial"/>
          <w:b/>
          <w:lang w:val="en-US"/>
        </w:rPr>
      </w:pPr>
    </w:p>
    <w:p w14:paraId="621BFE14" w14:textId="0E69EC57" w:rsidR="008B5569" w:rsidRPr="00974A36" w:rsidRDefault="008B5569" w:rsidP="00974A36">
      <w:pPr>
        <w:rPr>
          <w:rFonts w:ascii="Arial" w:hAnsi="Arial" w:cs="Arial"/>
          <w:sz w:val="24"/>
          <w:szCs w:val="24"/>
          <w:lang w:val="en-US"/>
        </w:rPr>
      </w:pPr>
      <w:r w:rsidRPr="00D612DF">
        <w:rPr>
          <w:rFonts w:ascii="Arial" w:hAnsi="Arial" w:cs="Arial"/>
          <w:sz w:val="24"/>
          <w:szCs w:val="24"/>
          <w:lang w:val="en-US"/>
        </w:rPr>
        <w:br w:type="page"/>
      </w:r>
    </w:p>
    <w:p w14:paraId="5BD7C876" w14:textId="51B02BAD" w:rsidR="006B3774" w:rsidRPr="00974A36" w:rsidRDefault="006B3774" w:rsidP="00974A36">
      <w:pPr>
        <w:autoSpaceDE w:val="0"/>
        <w:adjustRightInd w:val="0"/>
        <w:spacing w:line="480" w:lineRule="auto"/>
        <w:rPr>
          <w:rFonts w:ascii="Arial" w:hAnsi="Arial" w:cs="Arial"/>
          <w:bCs/>
          <w:lang w:val="en-US"/>
        </w:rPr>
      </w:pPr>
      <w:r w:rsidRPr="00974A36">
        <w:rPr>
          <w:rFonts w:ascii="Arial" w:hAnsi="Arial" w:cs="Arial"/>
          <w:bCs/>
          <w:lang w:val="en-US"/>
        </w:rPr>
        <w:lastRenderedPageBreak/>
        <w:t xml:space="preserve">Table </w:t>
      </w:r>
      <w:r w:rsidR="00DF0DCD" w:rsidRPr="00974A36">
        <w:rPr>
          <w:rFonts w:ascii="Arial" w:hAnsi="Arial" w:cs="Arial"/>
          <w:bCs/>
          <w:lang w:val="en-US"/>
        </w:rPr>
        <w:t>S</w:t>
      </w:r>
      <w:r w:rsidRPr="00974A36">
        <w:rPr>
          <w:rFonts w:ascii="Arial" w:hAnsi="Arial" w:cs="Arial"/>
          <w:bCs/>
          <w:lang w:val="en-US"/>
        </w:rPr>
        <w:t>1:</w:t>
      </w:r>
      <w:r w:rsidR="00693EBB" w:rsidRPr="00974A36">
        <w:rPr>
          <w:rFonts w:ascii="Arial" w:hAnsi="Arial" w:cs="Arial"/>
          <w:bCs/>
          <w:lang w:val="en-US"/>
        </w:rPr>
        <w:t xml:space="preserve"> Determination of different endo-amylase activities using different blanks (B1 and B2) </w:t>
      </w:r>
    </w:p>
    <w:tbl>
      <w:tblPr>
        <w:tblW w:w="9634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677"/>
        <w:gridCol w:w="2082"/>
        <w:gridCol w:w="1676"/>
        <w:gridCol w:w="1682"/>
        <w:gridCol w:w="1326"/>
        <w:gridCol w:w="1191"/>
      </w:tblGrid>
      <w:tr w:rsidR="006B3774" w:rsidRPr="00693EBB" w14:paraId="590792A5" w14:textId="77777777" w:rsidTr="00BA73FC">
        <w:tc>
          <w:tcPr>
            <w:tcW w:w="1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C92C126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Submitted endo-amylase activity</w:t>
            </w:r>
          </w:p>
          <w:p w14:paraId="1508ACC5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[pkat mL</w:t>
            </w:r>
            <w:r w:rsidRPr="00693EBB">
              <w:rPr>
                <w:rFonts w:ascii="Arial" w:eastAsiaTheme="majorEastAsia" w:hAnsi="Arial" w:cs="Arial"/>
                <w:szCs w:val="24"/>
                <w:vertAlign w:val="superscript"/>
                <w:lang w:val="en-US"/>
              </w:rPr>
              <w:t>-1</w:t>
            </w: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]</w:t>
            </w:r>
          </w:p>
        </w:tc>
        <w:tc>
          <w:tcPr>
            <w:tcW w:w="20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D8AC81" w14:textId="5497E088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Activity calculated with Blank 1</w:t>
            </w:r>
            <w:r w:rsidR="00693EBB" w:rsidRPr="00693EBB">
              <w:rPr>
                <w:rFonts w:ascii="Arial" w:hAnsi="Arial" w:cs="Arial"/>
                <w:vertAlign w:val="superscript"/>
                <w:lang w:val="en-US"/>
              </w:rPr>
              <w:t>*1</w:t>
            </w:r>
          </w:p>
          <w:p w14:paraId="7B5E8768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[pkat mL</w:t>
            </w:r>
            <w:r w:rsidRPr="00693EBB">
              <w:rPr>
                <w:rFonts w:ascii="Arial" w:eastAsiaTheme="majorEastAsia" w:hAnsi="Arial" w:cs="Arial"/>
                <w:szCs w:val="24"/>
                <w:vertAlign w:val="superscript"/>
                <w:lang w:val="en-US"/>
              </w:rPr>
              <w:t>-1</w:t>
            </w: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]</w:t>
            </w:r>
          </w:p>
        </w:tc>
        <w:tc>
          <w:tcPr>
            <w:tcW w:w="16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47DA9F9" w14:textId="1A99C4AA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Activity calculated with Blank 2</w:t>
            </w:r>
            <w:r w:rsidR="00693EBB" w:rsidRPr="00693EBB">
              <w:rPr>
                <w:rFonts w:ascii="Arial" w:hAnsi="Arial" w:cs="Arial"/>
                <w:vertAlign w:val="superscript"/>
                <w:lang w:val="en-US"/>
              </w:rPr>
              <w:t>*2</w:t>
            </w:r>
          </w:p>
          <w:p w14:paraId="13EEA5C7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  <w:lang w:val="en-US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[pkat mL</w:t>
            </w:r>
            <w:r w:rsidRPr="00693EBB">
              <w:rPr>
                <w:rFonts w:ascii="Arial" w:eastAsiaTheme="majorEastAsia" w:hAnsi="Arial" w:cs="Arial"/>
                <w:szCs w:val="24"/>
                <w:vertAlign w:val="superscript"/>
                <w:lang w:val="en-US"/>
              </w:rPr>
              <w:t>-1</w:t>
            </w: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]</w:t>
            </w:r>
          </w:p>
        </w:tc>
        <w:tc>
          <w:tcPr>
            <w:tcW w:w="1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455A818F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Percentage activity with Blank 1 [%]</w:t>
            </w:r>
          </w:p>
        </w:tc>
        <w:tc>
          <w:tcPr>
            <w:tcW w:w="13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0" w:type="dxa"/>
              <w:bottom w:w="0" w:type="dxa"/>
              <w:right w:w="100" w:type="dxa"/>
            </w:tcMar>
            <w:hideMark/>
          </w:tcPr>
          <w:p w14:paraId="3C29229E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  <w:lang w:val="en-US"/>
              </w:rPr>
              <w:t>Percentage activity with Blank 2 [%]</w:t>
            </w:r>
          </w:p>
        </w:tc>
        <w:tc>
          <w:tcPr>
            <w:tcW w:w="119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121CECF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 xml:space="preserve">Assay </w:t>
            </w:r>
            <w:proofErr w:type="spellStart"/>
            <w:r w:rsidRPr="00693EBB">
              <w:rPr>
                <w:rFonts w:ascii="Arial" w:eastAsiaTheme="majorEastAsia" w:hAnsi="Arial" w:cs="Arial"/>
                <w:szCs w:val="24"/>
              </w:rPr>
              <w:t>run</w:t>
            </w:r>
            <w:proofErr w:type="spellEnd"/>
            <w:r w:rsidRPr="00693EBB">
              <w:rPr>
                <w:rFonts w:ascii="Arial" w:eastAsiaTheme="majorEastAsia" w:hAnsi="Arial" w:cs="Arial"/>
                <w:szCs w:val="24"/>
              </w:rPr>
              <w:t xml:space="preserve"> time [h]</w:t>
            </w:r>
          </w:p>
        </w:tc>
      </w:tr>
      <w:tr w:rsidR="006B3774" w:rsidRPr="00693EBB" w14:paraId="15A161BA" w14:textId="77777777" w:rsidTr="00BA73FC">
        <w:tc>
          <w:tcPr>
            <w:tcW w:w="167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291ADAB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60</w:t>
            </w:r>
          </w:p>
        </w:tc>
        <w:tc>
          <w:tcPr>
            <w:tcW w:w="208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C037E8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60.91 ± 1.54</w:t>
            </w:r>
          </w:p>
        </w:tc>
        <w:tc>
          <w:tcPr>
            <w:tcW w:w="167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2DC7B9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58.11</w:t>
            </w:r>
          </w:p>
        </w:tc>
        <w:tc>
          <w:tcPr>
            <w:tcW w:w="168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53FB92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101.5</w:t>
            </w:r>
          </w:p>
        </w:tc>
        <w:tc>
          <w:tcPr>
            <w:tcW w:w="132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E6D114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96.5</w:t>
            </w:r>
          </w:p>
        </w:tc>
        <w:tc>
          <w:tcPr>
            <w:tcW w:w="119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EFB937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1.25</w:t>
            </w:r>
          </w:p>
        </w:tc>
      </w:tr>
      <w:tr w:rsidR="006B3774" w:rsidRPr="00693EBB" w14:paraId="5F2E3C5B" w14:textId="77777777" w:rsidTr="00BA73FC"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B2EE1E0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15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09C4F41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26.52 ± 0.98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993447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15.35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773C19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176.8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941D1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102.3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6ECFFF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2</w:t>
            </w:r>
          </w:p>
        </w:tc>
      </w:tr>
      <w:tr w:rsidR="006B3774" w:rsidRPr="00693EBB" w14:paraId="5BBD30DE" w14:textId="77777777" w:rsidTr="00BA73FC">
        <w:trPr>
          <w:trHeight w:val="350"/>
        </w:trPr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BCE5D48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10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6DD4E0E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18.20 ± 0.886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0819B8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9.20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CF8F3F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182.0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B730D6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92.0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D9707D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3</w:t>
            </w:r>
          </w:p>
        </w:tc>
      </w:tr>
      <w:tr w:rsidR="006B3774" w:rsidRPr="00693EBB" w14:paraId="682DE092" w14:textId="77777777" w:rsidTr="00BA73FC">
        <w:trPr>
          <w:trHeight w:val="390"/>
        </w:trPr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089D1A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2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97FA9DD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3.36 ± 0.074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A45EB3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1.94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D1C394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168.0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48FAB4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97.0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C6A17C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17</w:t>
            </w:r>
          </w:p>
        </w:tc>
      </w:tr>
      <w:tr w:rsidR="006B3774" w:rsidRPr="00693EBB" w14:paraId="1B0CE4D8" w14:textId="77777777" w:rsidTr="00BA73FC"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30D28AA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1</w:t>
            </w:r>
          </w:p>
        </w:tc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ADDE39D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3.73 ± 0.0303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71E06A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0.93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BB2F60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373.0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157328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93.0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EF93FB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24</w:t>
            </w:r>
          </w:p>
        </w:tc>
      </w:tr>
      <w:tr w:rsidR="006B3774" w:rsidRPr="00693EBB" w14:paraId="283E3636" w14:textId="77777777" w:rsidTr="00BA73FC"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B3F23B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0.5</w:t>
            </w:r>
          </w:p>
        </w:tc>
        <w:tc>
          <w:tcPr>
            <w:tcW w:w="208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A60B161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 xml:space="preserve">&lt;LOD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8197F3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&lt;LOD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AF2A95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015FC9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C46AB3" w14:textId="77777777" w:rsidR="006B3774" w:rsidRPr="00693EBB" w:rsidRDefault="006B3774" w:rsidP="00BA73FC">
            <w:pPr>
              <w:rPr>
                <w:rFonts w:ascii="Arial" w:eastAsiaTheme="majorEastAsia" w:hAnsi="Arial" w:cs="Arial"/>
                <w:szCs w:val="24"/>
              </w:rPr>
            </w:pPr>
            <w:r w:rsidRPr="00693EBB">
              <w:rPr>
                <w:rFonts w:ascii="Arial" w:eastAsiaTheme="majorEastAsia" w:hAnsi="Arial" w:cs="Arial"/>
                <w:szCs w:val="24"/>
              </w:rPr>
              <w:t>48</w:t>
            </w:r>
          </w:p>
        </w:tc>
      </w:tr>
    </w:tbl>
    <w:p w14:paraId="541F9CFE" w14:textId="4830A3E5" w:rsidR="00693EBB" w:rsidRPr="00693EBB" w:rsidRDefault="00693EBB" w:rsidP="00CE4849">
      <w:pPr>
        <w:autoSpaceDE w:val="0"/>
        <w:adjustRightInd w:val="0"/>
        <w:spacing w:line="240" w:lineRule="auto"/>
        <w:rPr>
          <w:rFonts w:ascii="Arial" w:hAnsi="Arial" w:cs="Arial"/>
          <w:lang w:val="en-US"/>
        </w:rPr>
      </w:pPr>
      <w:r w:rsidRPr="00693EBB">
        <w:rPr>
          <w:rFonts w:ascii="Arial" w:hAnsi="Arial" w:cs="Arial"/>
          <w:vertAlign w:val="superscript"/>
          <w:lang w:val="en-US"/>
        </w:rPr>
        <w:t xml:space="preserve">*1 </w:t>
      </w:r>
      <w:r w:rsidRPr="00693EBB">
        <w:rPr>
          <w:rFonts w:ascii="Arial" w:hAnsi="Arial" w:cs="Arial"/>
          <w:lang w:val="en-US"/>
        </w:rPr>
        <w:t>incubation of the Ceralpha reagent for the respective assay run time, addition of the stopping reagent followed by the addition of amylase solution</w:t>
      </w:r>
    </w:p>
    <w:p w14:paraId="5BD6AD7D" w14:textId="2C7AC1B0" w:rsidR="00693EBB" w:rsidRDefault="00693EBB" w:rsidP="00CE4849">
      <w:pPr>
        <w:autoSpaceDE w:val="0"/>
        <w:adjustRightInd w:val="0"/>
        <w:spacing w:line="240" w:lineRule="auto"/>
        <w:rPr>
          <w:rFonts w:ascii="Arial" w:hAnsi="Arial" w:cs="Arial"/>
          <w:lang w:val="en-US"/>
        </w:rPr>
      </w:pPr>
      <w:r w:rsidRPr="00693EBB">
        <w:rPr>
          <w:rFonts w:ascii="Arial" w:hAnsi="Arial" w:cs="Arial"/>
          <w:vertAlign w:val="superscript"/>
          <w:lang w:val="en-US"/>
        </w:rPr>
        <w:t>*2</w:t>
      </w:r>
      <w:r w:rsidRPr="00693EBB">
        <w:rPr>
          <w:rFonts w:ascii="Arial" w:hAnsi="Arial" w:cs="Arial"/>
          <w:lang w:val="en-US"/>
        </w:rPr>
        <w:t xml:space="preserve"> incubation of the Ceralpha reagent together with heat inactivated amylase solution or buffer for the respective assay run time, addition of the stopping reagent</w:t>
      </w:r>
    </w:p>
    <w:p w14:paraId="4E22EAB3" w14:textId="23098011" w:rsidR="006B3774" w:rsidRDefault="006266AE" w:rsidP="00C9470A">
      <w:pPr>
        <w:autoSpaceDE w:val="0"/>
        <w:adjustRightInd w:val="0"/>
        <w:spacing w:line="240" w:lineRule="auto"/>
        <w:jc w:val="center"/>
        <w:rPr>
          <w:lang w:val="en-US"/>
        </w:rPr>
      </w:pPr>
      <w:r>
        <w:rPr>
          <w:rFonts w:ascii="Arial" w:hAnsi="Arial" w:cs="Arial"/>
          <w:noProof/>
          <w:lang w:val="en-US"/>
        </w:rPr>
        <w:drawing>
          <wp:inline distT="0" distB="0" distL="0" distR="0" wp14:anchorId="471C79A0" wp14:editId="2FDA9FBE">
            <wp:extent cx="3612251" cy="2852531"/>
            <wp:effectExtent l="0" t="0" r="7620" b="5080"/>
            <wp:docPr id="526898296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898296" name="Grafik 52689829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2251" cy="2852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2369D1" w14:textId="77777777" w:rsidR="00974A36" w:rsidRDefault="00974A36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0D05E824" w14:textId="4FB007AD" w:rsidR="00661686" w:rsidRDefault="00661686" w:rsidP="00974A36">
      <w:pPr>
        <w:jc w:val="center"/>
        <w:rPr>
          <w:rFonts w:ascii="Arial" w:hAnsi="Arial" w:cs="Arial"/>
          <w:lang w:val="en-US"/>
        </w:rPr>
      </w:pPr>
      <w:r w:rsidRPr="006266AE">
        <w:rPr>
          <w:rFonts w:ascii="Arial" w:hAnsi="Arial" w:cs="Arial"/>
          <w:lang w:val="en-US"/>
        </w:rPr>
        <w:lastRenderedPageBreak/>
        <w:t xml:space="preserve">Figure </w:t>
      </w:r>
      <w:r w:rsidR="00DF0DCD">
        <w:rPr>
          <w:rFonts w:ascii="Arial" w:hAnsi="Arial" w:cs="Arial"/>
          <w:lang w:val="en-US"/>
        </w:rPr>
        <w:t>S</w:t>
      </w:r>
      <w:r w:rsidRPr="006266AE">
        <w:rPr>
          <w:rFonts w:ascii="Arial" w:hAnsi="Arial" w:cs="Arial"/>
          <w:lang w:val="en-US"/>
        </w:rPr>
        <w:t xml:space="preserve">1: First calibration curve of the new Da67 assay using maltose (concentrations of assay components not yet optimized: </w:t>
      </w:r>
      <w:r w:rsidR="006266AE" w:rsidRPr="00B502D0">
        <w:rPr>
          <w:rFonts w:ascii="Arial" w:hAnsi="Arial" w:cs="Arial"/>
          <w:lang w:val="en-US"/>
        </w:rPr>
        <w:t xml:space="preserve">50 </w:t>
      </w:r>
      <w:r w:rsidR="006266AE" w:rsidRPr="002029E1">
        <w:rPr>
          <w:rFonts w:ascii="Arial" w:hAnsi="Arial" w:cs="Arial"/>
          <w:lang w:val="en-US"/>
        </w:rPr>
        <w:t>μ</w:t>
      </w:r>
      <w:r w:rsidR="006266AE" w:rsidRPr="00B502D0">
        <w:rPr>
          <w:rFonts w:ascii="Arial" w:hAnsi="Arial" w:cs="Arial"/>
          <w:lang w:val="en-US"/>
        </w:rPr>
        <w:t xml:space="preserve">M Da67, </w:t>
      </w:r>
      <w:r w:rsidR="00C9470A">
        <w:rPr>
          <w:rFonts w:ascii="Arial" w:hAnsi="Arial" w:cs="Arial"/>
          <w:lang w:val="en-US"/>
        </w:rPr>
        <w:t>681</w:t>
      </w:r>
      <w:r w:rsidR="00C9470A" w:rsidRPr="00B502D0">
        <w:rPr>
          <w:rFonts w:ascii="Arial" w:hAnsi="Arial" w:cs="Arial"/>
          <w:lang w:val="en-US"/>
        </w:rPr>
        <w:t xml:space="preserve"> </w:t>
      </w:r>
      <w:proofErr w:type="spellStart"/>
      <w:r w:rsidR="00C9470A">
        <w:rPr>
          <w:rFonts w:ascii="Arial" w:hAnsi="Arial" w:cs="Arial"/>
          <w:lang w:val="en-US"/>
        </w:rPr>
        <w:t>nkat</w:t>
      </w:r>
      <w:proofErr w:type="spellEnd"/>
      <w:r w:rsidR="00C9470A" w:rsidRPr="00B502D0">
        <w:rPr>
          <w:rFonts w:ascii="Arial" w:hAnsi="Arial" w:cs="Arial"/>
          <w:lang w:val="en-US"/>
        </w:rPr>
        <w:t xml:space="preserve"> </w:t>
      </w:r>
      <w:r w:rsidR="006266AE" w:rsidRPr="00B502D0">
        <w:rPr>
          <w:rFonts w:ascii="Arial" w:hAnsi="Arial" w:cs="Arial"/>
          <w:lang w:val="en-US"/>
        </w:rPr>
        <w:t>mL</w:t>
      </w:r>
      <w:r w:rsidR="006266AE" w:rsidRPr="00B502D0">
        <w:rPr>
          <w:rFonts w:ascii="Arial" w:hAnsi="Arial" w:cs="Arial"/>
          <w:vertAlign w:val="superscript"/>
          <w:lang w:val="en-US"/>
        </w:rPr>
        <w:t>-1</w:t>
      </w:r>
      <w:r w:rsidR="006266AE" w:rsidRPr="00B502D0">
        <w:rPr>
          <w:rFonts w:ascii="Arial" w:hAnsi="Arial" w:cs="Arial"/>
          <w:lang w:val="en-US"/>
        </w:rPr>
        <w:t xml:space="preserve"> peroxidase, </w:t>
      </w:r>
      <w:r w:rsidR="00C9470A">
        <w:rPr>
          <w:rFonts w:ascii="Arial" w:hAnsi="Arial" w:cs="Arial"/>
          <w:lang w:val="en-US"/>
        </w:rPr>
        <w:t>150</w:t>
      </w:r>
      <w:r w:rsidR="00C9470A" w:rsidRPr="00B502D0">
        <w:rPr>
          <w:rFonts w:ascii="Arial" w:hAnsi="Arial" w:cs="Arial"/>
          <w:lang w:val="en-US"/>
        </w:rPr>
        <w:t xml:space="preserve"> </w:t>
      </w:r>
      <w:proofErr w:type="spellStart"/>
      <w:r w:rsidR="00C9470A">
        <w:rPr>
          <w:rFonts w:ascii="Arial" w:hAnsi="Arial" w:cs="Arial"/>
          <w:lang w:val="en-US"/>
        </w:rPr>
        <w:t>nkat</w:t>
      </w:r>
      <w:proofErr w:type="spellEnd"/>
      <w:r w:rsidR="00C9470A" w:rsidRPr="00B502D0">
        <w:rPr>
          <w:rFonts w:ascii="Arial" w:hAnsi="Arial" w:cs="Arial"/>
          <w:lang w:val="en-US"/>
        </w:rPr>
        <w:t xml:space="preserve"> </w:t>
      </w:r>
      <w:r w:rsidR="006266AE" w:rsidRPr="00B502D0">
        <w:rPr>
          <w:rFonts w:ascii="Arial" w:hAnsi="Arial" w:cs="Arial"/>
          <w:lang w:val="en-US"/>
        </w:rPr>
        <w:t>mL</w:t>
      </w:r>
      <w:r w:rsidR="006266AE" w:rsidRPr="00B502D0">
        <w:rPr>
          <w:rFonts w:ascii="Arial" w:hAnsi="Arial" w:cs="Arial"/>
          <w:vertAlign w:val="superscript"/>
          <w:lang w:val="en-US"/>
        </w:rPr>
        <w:t>-1</w:t>
      </w:r>
      <w:r w:rsidR="006266AE" w:rsidRPr="00B502D0">
        <w:rPr>
          <w:rFonts w:ascii="Arial" w:hAnsi="Arial" w:cs="Arial"/>
          <w:lang w:val="en-US"/>
        </w:rPr>
        <w:t xml:space="preserve"> glucose oxidase and </w:t>
      </w:r>
      <w:r w:rsidR="006266AE">
        <w:rPr>
          <w:rFonts w:ascii="Arial" w:hAnsi="Arial" w:cs="Arial"/>
          <w:lang w:val="en-US"/>
        </w:rPr>
        <w:t xml:space="preserve">1 </w:t>
      </w:r>
      <w:r w:rsidR="006266AE" w:rsidRPr="00B502D0">
        <w:rPr>
          <w:rFonts w:ascii="Arial" w:hAnsi="Arial" w:cs="Arial"/>
          <w:lang w:val="en-US"/>
        </w:rPr>
        <w:t>% (w/v) starch</w:t>
      </w:r>
      <w:r w:rsidR="006266AE" w:rsidRPr="006266AE">
        <w:rPr>
          <w:rFonts w:ascii="Arial" w:hAnsi="Arial" w:cs="Arial"/>
          <w:lang w:val="en-US"/>
        </w:rPr>
        <w:t>)</w:t>
      </w:r>
      <w:r w:rsidR="00A27F3D">
        <w:rPr>
          <w:rFonts w:ascii="Arial" w:hAnsi="Arial" w:cs="Arial"/>
          <w:noProof/>
          <w:lang w:val="en-US"/>
        </w:rPr>
        <w:drawing>
          <wp:inline distT="0" distB="0" distL="0" distR="0" wp14:anchorId="62D1E626" wp14:editId="7FD7D8A5">
            <wp:extent cx="4102915" cy="3240000"/>
            <wp:effectExtent l="0" t="0" r="0" b="0"/>
            <wp:docPr id="228620129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620129" name="Grafik 228620129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2915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CD9086" w14:textId="26CA7C02" w:rsidR="00661686" w:rsidRDefault="00661686" w:rsidP="00B502D0">
      <w:pPr>
        <w:rPr>
          <w:rFonts w:ascii="Arial" w:hAnsi="Arial" w:cs="Arial"/>
          <w:lang w:val="en-US"/>
        </w:rPr>
      </w:pPr>
      <w:r w:rsidRPr="00B502D0">
        <w:rPr>
          <w:rFonts w:ascii="Arial" w:hAnsi="Arial" w:cs="Arial"/>
          <w:lang w:val="en-US"/>
        </w:rPr>
        <w:t xml:space="preserve">Figure </w:t>
      </w:r>
      <w:r w:rsidR="00DF0DCD">
        <w:rPr>
          <w:rFonts w:ascii="Arial" w:hAnsi="Arial" w:cs="Arial"/>
          <w:lang w:val="en-US"/>
        </w:rPr>
        <w:t>S</w:t>
      </w:r>
      <w:r w:rsidRPr="00B502D0">
        <w:rPr>
          <w:rFonts w:ascii="Arial" w:hAnsi="Arial" w:cs="Arial"/>
          <w:lang w:val="en-US"/>
        </w:rPr>
        <w:t xml:space="preserve">2: Calibration curve of the new Da67 assay using maltose with optimized concentration of assay components (50 </w:t>
      </w:r>
      <w:r w:rsidRPr="002029E1">
        <w:rPr>
          <w:rFonts w:ascii="Arial" w:hAnsi="Arial" w:cs="Arial"/>
          <w:lang w:val="en-US"/>
        </w:rPr>
        <w:t>μ</w:t>
      </w:r>
      <w:r w:rsidRPr="00B502D0">
        <w:rPr>
          <w:rFonts w:ascii="Arial" w:hAnsi="Arial" w:cs="Arial"/>
          <w:lang w:val="en-US"/>
        </w:rPr>
        <w:t xml:space="preserve">M Da67, </w:t>
      </w:r>
      <w:r w:rsidR="00C9470A">
        <w:rPr>
          <w:rFonts w:ascii="Arial" w:hAnsi="Arial" w:cs="Arial"/>
          <w:lang w:val="en-US"/>
        </w:rPr>
        <w:t>681</w:t>
      </w:r>
      <w:r w:rsidR="00C9470A" w:rsidRPr="00B502D0">
        <w:rPr>
          <w:rFonts w:ascii="Arial" w:hAnsi="Arial" w:cs="Arial"/>
          <w:lang w:val="en-US"/>
        </w:rPr>
        <w:t xml:space="preserve"> </w:t>
      </w:r>
      <w:r w:rsidRPr="00B502D0">
        <w:rPr>
          <w:rFonts w:ascii="Arial" w:hAnsi="Arial" w:cs="Arial"/>
          <w:lang w:val="en-US"/>
        </w:rPr>
        <w:t>U mL</w:t>
      </w:r>
      <w:r w:rsidRPr="00B502D0">
        <w:rPr>
          <w:rFonts w:ascii="Arial" w:hAnsi="Arial" w:cs="Arial"/>
          <w:vertAlign w:val="superscript"/>
          <w:lang w:val="en-US"/>
        </w:rPr>
        <w:t>-1</w:t>
      </w:r>
      <w:r w:rsidRPr="00B502D0">
        <w:rPr>
          <w:rFonts w:ascii="Arial" w:hAnsi="Arial" w:cs="Arial"/>
          <w:lang w:val="en-US"/>
        </w:rPr>
        <w:t xml:space="preserve"> peroxidase, 93 U mL</w:t>
      </w:r>
      <w:r w:rsidRPr="00B502D0">
        <w:rPr>
          <w:rFonts w:ascii="Arial" w:hAnsi="Arial" w:cs="Arial"/>
          <w:vertAlign w:val="superscript"/>
          <w:lang w:val="en-US"/>
        </w:rPr>
        <w:t>-1</w:t>
      </w:r>
      <w:r w:rsidRPr="00B502D0">
        <w:rPr>
          <w:rFonts w:ascii="Arial" w:hAnsi="Arial" w:cs="Arial"/>
          <w:lang w:val="en-US"/>
        </w:rPr>
        <w:t xml:space="preserve"> glucose oxidase and 0.01 % (w/v) starch</w:t>
      </w:r>
      <w:r w:rsidRPr="006266AE">
        <w:rPr>
          <w:rFonts w:ascii="Arial" w:hAnsi="Arial" w:cs="Arial"/>
          <w:lang w:val="en-US"/>
        </w:rPr>
        <w:t>)</w:t>
      </w:r>
    </w:p>
    <w:p w14:paraId="4B515F42" w14:textId="1ADCA879" w:rsidR="00306F01" w:rsidRDefault="00A84329" w:rsidP="00A84329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val="en-US"/>
        </w:rPr>
        <w:drawing>
          <wp:inline distT="0" distB="0" distL="0" distR="0" wp14:anchorId="1E37F989" wp14:editId="05500D5D">
            <wp:extent cx="4166895" cy="3240000"/>
            <wp:effectExtent l="0" t="0" r="5080" b="0"/>
            <wp:docPr id="429449906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449906" name="Grafik 4294499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6895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0EDEDB" w14:textId="5B0D9DA7" w:rsidR="00661686" w:rsidRPr="004B2A5D" w:rsidRDefault="00306F01" w:rsidP="00A84329">
      <w:pPr>
        <w:rPr>
          <w:lang w:val="en-US"/>
        </w:rPr>
      </w:pPr>
      <w:r>
        <w:rPr>
          <w:rFonts w:ascii="Arial" w:hAnsi="Arial" w:cs="Arial"/>
          <w:lang w:val="en-US"/>
        </w:rPr>
        <w:t>Figure</w:t>
      </w:r>
      <w:r w:rsidR="00A27F3D">
        <w:rPr>
          <w:rFonts w:ascii="Arial" w:hAnsi="Arial" w:cs="Arial"/>
          <w:lang w:val="en-US"/>
        </w:rPr>
        <w:t xml:space="preserve"> </w:t>
      </w:r>
      <w:r w:rsidR="00DF0DCD">
        <w:rPr>
          <w:rFonts w:ascii="Arial" w:hAnsi="Arial" w:cs="Arial"/>
          <w:lang w:val="en-US"/>
        </w:rPr>
        <w:t>S</w:t>
      </w:r>
      <w:r w:rsidR="00A27F3D">
        <w:rPr>
          <w:rFonts w:ascii="Arial" w:hAnsi="Arial" w:cs="Arial"/>
          <w:lang w:val="en-US"/>
        </w:rPr>
        <w:t>3</w:t>
      </w:r>
      <w:r>
        <w:rPr>
          <w:rFonts w:ascii="Arial" w:hAnsi="Arial" w:cs="Arial"/>
          <w:lang w:val="en-US"/>
        </w:rPr>
        <w:t>: Absorbance values of one exemplary sample (</w:t>
      </w:r>
      <w:r w:rsidR="00A84329">
        <w:rPr>
          <w:rFonts w:ascii="Arial" w:hAnsi="Arial" w:cs="Arial"/>
          <w:lang w:val="en-US"/>
        </w:rPr>
        <w:t>50 ng mL</w:t>
      </w:r>
      <w:r w:rsidR="00A84329" w:rsidRPr="00A84329">
        <w:rPr>
          <w:rFonts w:ascii="Arial" w:hAnsi="Arial" w:cs="Arial"/>
          <w:vertAlign w:val="superscript"/>
          <w:lang w:val="en-US"/>
        </w:rPr>
        <w:t xml:space="preserve">-1 </w:t>
      </w:r>
      <w:r w:rsidR="00A84329" w:rsidRPr="002557BD">
        <w:rPr>
          <w:rFonts w:ascii="Arial" w:hAnsi="Arial" w:cs="Arial"/>
          <w:lang w:val="en-US"/>
        </w:rPr>
        <w:t xml:space="preserve">of the </w:t>
      </w:r>
      <w:r w:rsidR="00A84329" w:rsidRPr="002557BD">
        <w:rPr>
          <w:rFonts w:ascii="Arial" w:hAnsi="Arial" w:cs="Arial"/>
          <w:i/>
          <w:iCs/>
          <w:lang w:val="en-US"/>
        </w:rPr>
        <w:t>α</w:t>
      </w:r>
      <w:r w:rsidR="00A84329" w:rsidRPr="002557BD">
        <w:rPr>
          <w:rFonts w:ascii="Arial" w:hAnsi="Arial" w:cs="Arial"/>
          <w:lang w:val="en-US"/>
        </w:rPr>
        <w:t xml:space="preserve">-amylase from </w:t>
      </w:r>
      <w:r w:rsidR="00A84329" w:rsidRPr="002557BD">
        <w:rPr>
          <w:rFonts w:ascii="Arial" w:hAnsi="Arial" w:cs="Arial"/>
          <w:i/>
          <w:iCs/>
          <w:lang w:val="en-US"/>
        </w:rPr>
        <w:t>B. subtilis</w:t>
      </w:r>
      <w:r>
        <w:rPr>
          <w:rFonts w:ascii="Arial" w:hAnsi="Arial" w:cs="Arial"/>
          <w:lang w:val="en-US"/>
        </w:rPr>
        <w:t xml:space="preserve">) and one assay blank using a long assay run time with all assay components together (Da67, peroxidase, </w:t>
      </w:r>
      <w:r w:rsidR="00A27F3D">
        <w:rPr>
          <w:rFonts w:ascii="Arial" w:hAnsi="Arial" w:cs="Arial"/>
          <w:lang w:val="en-US"/>
        </w:rPr>
        <w:t xml:space="preserve">glucose oxidase, </w:t>
      </w:r>
      <w:r>
        <w:rPr>
          <w:rFonts w:ascii="Arial" w:hAnsi="Arial" w:cs="Arial"/>
          <w:lang w:val="en-US"/>
        </w:rPr>
        <w:t>starch</w:t>
      </w:r>
      <w:r w:rsidR="00A27F3D">
        <w:rPr>
          <w:rFonts w:ascii="Arial" w:hAnsi="Arial" w:cs="Arial"/>
          <w:lang w:val="en-US"/>
        </w:rPr>
        <w:t xml:space="preserve"> and amylase)</w:t>
      </w:r>
    </w:p>
    <w:sectPr w:rsidR="00661686" w:rsidRPr="004B2A5D" w:rsidSect="00854FD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0C2864"/>
    <w:multiLevelType w:val="hybridMultilevel"/>
    <w:tmpl w:val="835AA8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024805"/>
    <w:multiLevelType w:val="hybridMultilevel"/>
    <w:tmpl w:val="6DDE5D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7273571">
    <w:abstractNumId w:val="1"/>
  </w:num>
  <w:num w:numId="2" w16cid:durableId="1656299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FB8"/>
    <w:rsid w:val="0000668B"/>
    <w:rsid w:val="00047C45"/>
    <w:rsid w:val="00073689"/>
    <w:rsid w:val="00077FB8"/>
    <w:rsid w:val="0008227A"/>
    <w:rsid w:val="000A5B43"/>
    <w:rsid w:val="000F06AC"/>
    <w:rsid w:val="00102A57"/>
    <w:rsid w:val="0014687F"/>
    <w:rsid w:val="00181A14"/>
    <w:rsid w:val="001D5B0B"/>
    <w:rsid w:val="001F7A3F"/>
    <w:rsid w:val="002029E1"/>
    <w:rsid w:val="002057A3"/>
    <w:rsid w:val="002557BD"/>
    <w:rsid w:val="0028500A"/>
    <w:rsid w:val="002862CA"/>
    <w:rsid w:val="003036AA"/>
    <w:rsid w:val="0030454E"/>
    <w:rsid w:val="00306F01"/>
    <w:rsid w:val="00323BA6"/>
    <w:rsid w:val="003310BD"/>
    <w:rsid w:val="00340632"/>
    <w:rsid w:val="0035057C"/>
    <w:rsid w:val="00397F6F"/>
    <w:rsid w:val="003D0263"/>
    <w:rsid w:val="00430A36"/>
    <w:rsid w:val="0044425F"/>
    <w:rsid w:val="00450359"/>
    <w:rsid w:val="00467715"/>
    <w:rsid w:val="00476372"/>
    <w:rsid w:val="004B2A5D"/>
    <w:rsid w:val="00530FA0"/>
    <w:rsid w:val="00582FC1"/>
    <w:rsid w:val="005A0060"/>
    <w:rsid w:val="005F5E56"/>
    <w:rsid w:val="0060187B"/>
    <w:rsid w:val="006266AE"/>
    <w:rsid w:val="00642A7C"/>
    <w:rsid w:val="00661686"/>
    <w:rsid w:val="00661BE9"/>
    <w:rsid w:val="00693EBB"/>
    <w:rsid w:val="006B3774"/>
    <w:rsid w:val="006E3645"/>
    <w:rsid w:val="006F6C14"/>
    <w:rsid w:val="00722F44"/>
    <w:rsid w:val="00725148"/>
    <w:rsid w:val="00787F01"/>
    <w:rsid w:val="007914D5"/>
    <w:rsid w:val="007D20FB"/>
    <w:rsid w:val="007E4120"/>
    <w:rsid w:val="0080710A"/>
    <w:rsid w:val="00810846"/>
    <w:rsid w:val="00842B30"/>
    <w:rsid w:val="00850E67"/>
    <w:rsid w:val="00854FD2"/>
    <w:rsid w:val="00881D10"/>
    <w:rsid w:val="008B5569"/>
    <w:rsid w:val="008C3D7C"/>
    <w:rsid w:val="00956F47"/>
    <w:rsid w:val="009610F4"/>
    <w:rsid w:val="00963D9E"/>
    <w:rsid w:val="00974A36"/>
    <w:rsid w:val="00A27F3D"/>
    <w:rsid w:val="00A414EC"/>
    <w:rsid w:val="00A547F4"/>
    <w:rsid w:val="00A81356"/>
    <w:rsid w:val="00A84329"/>
    <w:rsid w:val="00AD2821"/>
    <w:rsid w:val="00AD3AC3"/>
    <w:rsid w:val="00AD7B42"/>
    <w:rsid w:val="00B16ABA"/>
    <w:rsid w:val="00B21CA0"/>
    <w:rsid w:val="00B502D0"/>
    <w:rsid w:val="00B524BF"/>
    <w:rsid w:val="00B61F0F"/>
    <w:rsid w:val="00B72F53"/>
    <w:rsid w:val="00BB5462"/>
    <w:rsid w:val="00C02526"/>
    <w:rsid w:val="00C77F2C"/>
    <w:rsid w:val="00C9470A"/>
    <w:rsid w:val="00CA5175"/>
    <w:rsid w:val="00CA6A6A"/>
    <w:rsid w:val="00CE0F03"/>
    <w:rsid w:val="00CE4849"/>
    <w:rsid w:val="00D04895"/>
    <w:rsid w:val="00D10B54"/>
    <w:rsid w:val="00DE3BC6"/>
    <w:rsid w:val="00DE70AB"/>
    <w:rsid w:val="00DF0DCD"/>
    <w:rsid w:val="00E67612"/>
    <w:rsid w:val="00E81523"/>
    <w:rsid w:val="00E8276A"/>
    <w:rsid w:val="00E907AA"/>
    <w:rsid w:val="00F50F53"/>
    <w:rsid w:val="00F54ACE"/>
    <w:rsid w:val="00F556D4"/>
    <w:rsid w:val="00F836C9"/>
    <w:rsid w:val="00FF2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D9F8D2"/>
  <w15:chartTrackingRefBased/>
  <w15:docId w15:val="{0A7DB70B-682E-4940-AD81-F254817EE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77FB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77FB8"/>
    <w:pPr>
      <w:ind w:left="720"/>
      <w:contextualSpacing/>
    </w:pPr>
  </w:style>
  <w:style w:type="table" w:styleId="Tabellenraster">
    <w:name w:val="Table Grid"/>
    <w:basedOn w:val="NormaleTabelle"/>
    <w:uiPriority w:val="39"/>
    <w:rsid w:val="00842B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D7B4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D7B4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D7B4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D7B4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D7B4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D7B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7B42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1F7A3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45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3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9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Reichenberger</dc:creator>
  <cp:keywords/>
  <dc:description/>
  <cp:lastModifiedBy>Katrin Reichenberger</cp:lastModifiedBy>
  <cp:revision>4</cp:revision>
  <cp:lastPrinted>2020-10-19T13:52:00Z</cp:lastPrinted>
  <dcterms:created xsi:type="dcterms:W3CDTF">2024-12-10T07:53:00Z</dcterms:created>
  <dcterms:modified xsi:type="dcterms:W3CDTF">2024-12-10T13:21:00Z</dcterms:modified>
</cp:coreProperties>
</file>