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6AE4" w:rsidRPr="00EF7E91" w:rsidRDefault="00606AE4" w:rsidP="00606AE4">
      <w:pPr>
        <w:widowControl w:val="0"/>
        <w:autoSpaceDE w:val="0"/>
        <w:autoSpaceDN w:val="0"/>
        <w:adjustRightInd w:val="0"/>
        <w:spacing w:before="280" w:after="280"/>
        <w:rPr>
          <w:noProof/>
          <w:sz w:val="20"/>
          <w:lang w:val="en-US"/>
        </w:rPr>
      </w:pPr>
      <w:r w:rsidRPr="00CF234F">
        <w:rPr>
          <w:b/>
          <w:bCs/>
          <w:lang w:val="en-US"/>
        </w:rPr>
        <w:t xml:space="preserve">Supplementary Table 1 </w:t>
      </w:r>
      <w:r w:rsidRPr="00CF234F">
        <w:rPr>
          <w:lang w:val="en-US"/>
        </w:rPr>
        <w:t>Association between changes in sRANKL and OPG and changes in n-3, n-6 and n-9 fatty acids during the course of the three-mont</w:t>
      </w:r>
      <w:bookmarkStart w:id="0" w:name="_GoBack"/>
      <w:bookmarkEnd w:id="0"/>
      <w:r w:rsidRPr="00CF234F">
        <w:rPr>
          <w:lang w:val="en-US"/>
        </w:rPr>
        <w:t>h intervention phase (</w:t>
      </w:r>
      <w:r w:rsidRPr="00CF234F">
        <w:rPr>
          <w:color w:val="000000" w:themeColor="text1"/>
          <w:lang w:val="en-US"/>
        </w:rPr>
        <w:t>Δ</w:t>
      </w:r>
      <w:r w:rsidRPr="00CF234F">
        <w:rPr>
          <w:lang w:val="en-US"/>
        </w:rPr>
        <w:t xml:space="preserve">V1-SE).  </w:t>
      </w:r>
    </w:p>
    <w:tbl>
      <w:tblPr>
        <w:tblStyle w:val="EinfacheTabelle21"/>
        <w:tblW w:w="10075" w:type="dxa"/>
        <w:tblLook w:val="04A0" w:firstRow="1" w:lastRow="0" w:firstColumn="1" w:lastColumn="0" w:noHBand="0" w:noVBand="1"/>
      </w:tblPr>
      <w:tblGrid>
        <w:gridCol w:w="1470"/>
        <w:gridCol w:w="1360"/>
        <w:gridCol w:w="1607"/>
        <w:gridCol w:w="1379"/>
        <w:gridCol w:w="1253"/>
        <w:gridCol w:w="1598"/>
        <w:gridCol w:w="1408"/>
      </w:tblGrid>
      <w:tr w:rsidR="00606AE4" w:rsidRPr="00CF234F" w:rsidTr="002D3C1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0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rPr>
                <w:rFonts w:ascii="TimesNewRomanPS" w:hAnsi="TimesNewRomanPS"/>
                <w:b w:val="0"/>
                <w:bCs w:val="0"/>
                <w:sz w:val="22"/>
                <w:szCs w:val="22"/>
                <w:lang w:val="en-US"/>
              </w:rPr>
            </w:pPr>
          </w:p>
        </w:tc>
        <w:tc>
          <w:tcPr>
            <w:tcW w:w="4346" w:type="dxa"/>
            <w:gridSpan w:val="3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NewRomanPS" w:hAnsi="TimesNewRomanPS"/>
                <w:b w:val="0"/>
                <w:bCs w:val="0"/>
                <w:sz w:val="22"/>
                <w:szCs w:val="22"/>
                <w:lang w:val="en-US"/>
              </w:rPr>
            </w:pPr>
            <w:r w:rsidRPr="00CF234F">
              <w:rPr>
                <w:rFonts w:ascii="TimesNewRomanPS" w:hAnsi="TimesNewRomanPS"/>
                <w:b w:val="0"/>
                <w:bCs w:val="0"/>
                <w:sz w:val="22"/>
                <w:szCs w:val="22"/>
                <w:lang w:val="en-US"/>
              </w:rPr>
              <w:t>sRANKL (IG: n=17, CG: n=19)</w:t>
            </w:r>
          </w:p>
        </w:tc>
        <w:tc>
          <w:tcPr>
            <w:tcW w:w="4259" w:type="dxa"/>
            <w:gridSpan w:val="3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NewRomanPS" w:hAnsi="TimesNewRomanPS"/>
                <w:b w:val="0"/>
                <w:bCs w:val="0"/>
                <w:sz w:val="22"/>
                <w:szCs w:val="22"/>
                <w:lang w:val="en-US"/>
              </w:rPr>
            </w:pPr>
            <w:r w:rsidRPr="00CF234F">
              <w:rPr>
                <w:rFonts w:ascii="TimesNewRomanPS" w:hAnsi="TimesNewRomanPS"/>
                <w:b w:val="0"/>
                <w:bCs w:val="0"/>
                <w:sz w:val="22"/>
                <w:szCs w:val="22"/>
                <w:lang w:val="en-US"/>
              </w:rPr>
              <w:t>OPG (IG: n=14, CG: n=12)</w:t>
            </w:r>
          </w:p>
        </w:tc>
      </w:tr>
      <w:tr w:rsidR="00606AE4" w:rsidRPr="00CF234F" w:rsidTr="002D3C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0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rPr>
                <w:rFonts w:ascii="TimesNewRomanPS" w:hAnsi="TimesNewRomanPS"/>
                <w:b w:val="0"/>
                <w:bCs w:val="0"/>
                <w:sz w:val="22"/>
                <w:szCs w:val="22"/>
                <w:lang w:val="en-US"/>
              </w:rPr>
            </w:pPr>
          </w:p>
        </w:tc>
        <w:tc>
          <w:tcPr>
            <w:tcW w:w="1360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NewRomanPS" w:hAnsi="TimesNewRomanPS"/>
                <w:sz w:val="22"/>
                <w:szCs w:val="22"/>
                <w:lang w:val="en-US"/>
              </w:rPr>
            </w:pPr>
            <w:r w:rsidRPr="00CF234F">
              <w:rPr>
                <w:rFonts w:ascii="TimesNewRomanPS" w:hAnsi="TimesNewRomanPS"/>
                <w:sz w:val="22"/>
                <w:szCs w:val="22"/>
                <w:lang w:val="en-US"/>
              </w:rPr>
              <w:t xml:space="preserve">Spearman </w:t>
            </w:r>
            <w:r w:rsidRPr="00CF234F">
              <w:rPr>
                <w:rFonts w:asciiTheme="majorBidi" w:hAnsiTheme="majorBidi" w:cstheme="majorBidi"/>
                <w:lang w:val="en-US"/>
              </w:rPr>
              <w:t>r</w:t>
            </w:r>
            <w:r w:rsidRPr="00CF234F">
              <w:rPr>
                <w:rFonts w:ascii="TimesNewRomanPS" w:hAnsi="TimesNewRomanPS"/>
                <w:sz w:val="22"/>
                <w:szCs w:val="22"/>
                <w:lang w:val="en-US"/>
              </w:rPr>
              <w:t xml:space="preserve"> </w:t>
            </w:r>
          </w:p>
        </w:tc>
        <w:tc>
          <w:tcPr>
            <w:tcW w:w="1607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NewRomanPS" w:hAnsi="TimesNewRomanPS"/>
                <w:color w:val="000000" w:themeColor="text1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95%CI</w:t>
            </w:r>
          </w:p>
        </w:tc>
        <w:tc>
          <w:tcPr>
            <w:tcW w:w="1379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NewRomanPS" w:hAnsi="TimesNewRomanPS"/>
                <w:sz w:val="22"/>
                <w:szCs w:val="22"/>
                <w:lang w:val="en-US"/>
              </w:rPr>
            </w:pPr>
            <w:r w:rsidRPr="00CF234F">
              <w:rPr>
                <w:rFonts w:ascii="TimesNewRomanPS" w:hAnsi="TimesNewRomanPS"/>
                <w:sz w:val="22"/>
                <w:szCs w:val="22"/>
                <w:lang w:val="en-US"/>
              </w:rPr>
              <w:t xml:space="preserve">p (q) value </w:t>
            </w:r>
          </w:p>
        </w:tc>
        <w:tc>
          <w:tcPr>
            <w:tcW w:w="1253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NewRomanPS" w:hAnsi="TimesNewRomanPS"/>
                <w:sz w:val="22"/>
                <w:szCs w:val="22"/>
                <w:lang w:val="en-US"/>
              </w:rPr>
            </w:pPr>
            <w:r w:rsidRPr="00CF234F">
              <w:rPr>
                <w:rFonts w:ascii="TimesNewRomanPS" w:hAnsi="TimesNewRomanPS"/>
                <w:sz w:val="22"/>
                <w:szCs w:val="22"/>
                <w:lang w:val="en-US"/>
              </w:rPr>
              <w:t>Spearman r</w:t>
            </w:r>
            <w:r w:rsidRPr="00CF234F" w:rsidDel="00C50C56">
              <w:rPr>
                <w:rFonts w:ascii="TimesNewRomanPS" w:hAnsi="TimesNewRomanPS"/>
                <w:sz w:val="22"/>
                <w:szCs w:val="22"/>
                <w:lang w:val="en-US"/>
              </w:rPr>
              <w:t xml:space="preserve"> </w:t>
            </w:r>
          </w:p>
        </w:tc>
        <w:tc>
          <w:tcPr>
            <w:tcW w:w="1598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NewRomanPS" w:hAnsi="TimesNewRomanPS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95%CI</w:t>
            </w:r>
          </w:p>
        </w:tc>
        <w:tc>
          <w:tcPr>
            <w:tcW w:w="1408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NewRomanPS" w:hAnsi="TimesNewRomanPS"/>
                <w:sz w:val="22"/>
                <w:szCs w:val="22"/>
                <w:lang w:val="en-US"/>
              </w:rPr>
            </w:pPr>
            <w:r w:rsidRPr="00CF234F">
              <w:rPr>
                <w:rFonts w:ascii="TimesNewRomanPS" w:hAnsi="TimesNewRomanPS"/>
                <w:sz w:val="22"/>
                <w:szCs w:val="22"/>
                <w:lang w:val="en-US"/>
              </w:rPr>
              <w:t xml:space="preserve">p (q) value </w:t>
            </w:r>
          </w:p>
        </w:tc>
      </w:tr>
      <w:tr w:rsidR="00606AE4" w:rsidRPr="00CF234F" w:rsidTr="002D3C11">
        <w:trPr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75" w:type="dxa"/>
            <w:gridSpan w:val="7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rPr>
                <w:rFonts w:asciiTheme="majorBidi" w:hAnsiTheme="majorBidi" w:cstheme="majorBidi"/>
                <w:b w:val="0"/>
                <w:bCs w:val="0"/>
                <w:sz w:val="22"/>
                <w:szCs w:val="22"/>
                <w:lang w:val="en-US"/>
              </w:rPr>
            </w:pPr>
            <w:r w:rsidRPr="00CF234F">
              <w:rPr>
                <w:rFonts w:ascii="TimesNewRomanPS" w:hAnsi="TimesNewRomanPS"/>
                <w:b w:val="0"/>
                <w:bCs w:val="0"/>
                <w:sz w:val="22"/>
                <w:szCs w:val="22"/>
                <w:lang w:val="en-US"/>
              </w:rPr>
              <w:t xml:space="preserve">RBCM PUFA </w:t>
            </w:r>
          </w:p>
        </w:tc>
      </w:tr>
      <w:tr w:rsidR="00606AE4" w:rsidRPr="00CF234F" w:rsidTr="002D3C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0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rPr>
                <w:rFonts w:ascii="TimesNewRomanPS" w:hAnsi="TimesNewRomanPS"/>
                <w:b w:val="0"/>
                <w:bCs w:val="0"/>
                <w:sz w:val="22"/>
                <w:szCs w:val="22"/>
                <w:lang w:val="en-US"/>
              </w:rPr>
            </w:pPr>
            <w:r w:rsidRPr="00CF234F">
              <w:rPr>
                <w:rFonts w:ascii="TimesNewRomanPS" w:hAnsi="TimesNewRomanPS"/>
                <w:b w:val="0"/>
                <w:bCs w:val="0"/>
                <w:sz w:val="22"/>
                <w:szCs w:val="22"/>
                <w:lang w:val="en-US"/>
              </w:rPr>
              <w:t>n-3</w:t>
            </w:r>
            <w:r w:rsidRPr="00CF234F">
              <w:rPr>
                <w:rFonts w:ascii="TimesNewRomanPS" w:hAnsi="TimesNewRomanPS"/>
                <w:b w:val="0"/>
                <w:bCs w:val="0"/>
                <w:sz w:val="22"/>
                <w:szCs w:val="22"/>
                <w:vertAlign w:val="superscript"/>
                <w:lang w:val="en-US"/>
              </w:rPr>
              <w:t>a</w:t>
            </w:r>
          </w:p>
        </w:tc>
        <w:tc>
          <w:tcPr>
            <w:tcW w:w="1360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NewRomanPS" w:hAnsi="TimesNewRomanPS"/>
                <w:b/>
                <w:bCs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-0.1067</w:t>
            </w:r>
          </w:p>
        </w:tc>
        <w:tc>
          <w:tcPr>
            <w:tcW w:w="1607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b/>
                <w:bCs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-0.4332-0.2445</w:t>
            </w:r>
          </w:p>
        </w:tc>
        <w:tc>
          <w:tcPr>
            <w:tcW w:w="1379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0.5417</w:t>
            </w: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br/>
              <w:t>(0.8372)</w:t>
            </w:r>
          </w:p>
        </w:tc>
        <w:tc>
          <w:tcPr>
            <w:tcW w:w="1253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0.5788</w:t>
            </w:r>
          </w:p>
        </w:tc>
        <w:tc>
          <w:tcPr>
            <w:tcW w:w="1598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0.2354-0.7937</w:t>
            </w:r>
          </w:p>
        </w:tc>
        <w:tc>
          <w:tcPr>
            <w:tcW w:w="1408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color w:val="000000" w:themeColor="text1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color w:val="000000" w:themeColor="text1"/>
                <w:sz w:val="22"/>
                <w:szCs w:val="22"/>
                <w:lang w:val="en-US"/>
              </w:rPr>
              <w:t>0.0019 (</w:t>
            </w:r>
            <w:r w:rsidRPr="00CF234F">
              <w:rPr>
                <w:rFonts w:asciiTheme="majorBidi" w:hAnsiTheme="majorBidi" w:cstheme="majorBidi"/>
                <w:b/>
                <w:bCs/>
                <w:color w:val="000000" w:themeColor="text1"/>
                <w:sz w:val="22"/>
                <w:szCs w:val="22"/>
                <w:lang w:val="en-US"/>
              </w:rPr>
              <w:t>0.0476</w:t>
            </w:r>
            <w:r w:rsidRPr="00CF234F">
              <w:rPr>
                <w:rFonts w:asciiTheme="majorBidi" w:hAnsiTheme="majorBidi" w:cstheme="majorBidi"/>
                <w:color w:val="000000" w:themeColor="text1"/>
                <w:sz w:val="22"/>
                <w:szCs w:val="22"/>
                <w:lang w:val="en-US"/>
              </w:rPr>
              <w:t>)</w:t>
            </w:r>
          </w:p>
        </w:tc>
      </w:tr>
      <w:tr w:rsidR="00606AE4" w:rsidRPr="00CF234F" w:rsidTr="002D3C11">
        <w:trPr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0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rPr>
                <w:rFonts w:ascii="TimesNewRomanPS" w:hAnsi="TimesNewRomanPS"/>
                <w:b w:val="0"/>
                <w:bCs w:val="0"/>
                <w:sz w:val="22"/>
                <w:szCs w:val="22"/>
                <w:vertAlign w:val="superscript"/>
                <w:lang w:val="en-US"/>
              </w:rPr>
            </w:pPr>
            <w:r w:rsidRPr="00CF234F">
              <w:rPr>
                <w:rFonts w:ascii="TimesNewRomanPS" w:hAnsi="TimesNewRomanPS"/>
                <w:b w:val="0"/>
                <w:bCs w:val="0"/>
                <w:sz w:val="22"/>
                <w:szCs w:val="22"/>
                <w:lang w:val="en-US"/>
              </w:rPr>
              <w:t>n-6</w:t>
            </w:r>
            <w:r w:rsidRPr="00CF234F">
              <w:rPr>
                <w:rFonts w:ascii="TimesNewRomanPS" w:hAnsi="TimesNewRomanPS"/>
                <w:b w:val="0"/>
                <w:bCs w:val="0"/>
                <w:sz w:val="22"/>
                <w:szCs w:val="22"/>
                <w:vertAlign w:val="superscript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-0.0913</w:t>
            </w:r>
          </w:p>
        </w:tc>
        <w:tc>
          <w:tcPr>
            <w:tcW w:w="1607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-0.4205-0.2591</w:t>
            </w:r>
          </w:p>
        </w:tc>
        <w:tc>
          <w:tcPr>
            <w:tcW w:w="1379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0.6019</w:t>
            </w: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br/>
              <w:t>(0.8527)</w:t>
            </w:r>
          </w:p>
        </w:tc>
        <w:tc>
          <w:tcPr>
            <w:tcW w:w="1253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-0.0735</w:t>
            </w:r>
          </w:p>
        </w:tc>
        <w:tc>
          <w:tcPr>
            <w:tcW w:w="1598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-0.4577-0.3338</w:t>
            </w:r>
          </w:p>
        </w:tc>
        <w:tc>
          <w:tcPr>
            <w:tcW w:w="1408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color w:val="000000" w:themeColor="text1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color w:val="000000" w:themeColor="text1"/>
                <w:sz w:val="22"/>
                <w:szCs w:val="22"/>
                <w:lang w:val="en-US"/>
              </w:rPr>
              <w:t>0.7212 (0.8750)</w:t>
            </w:r>
          </w:p>
        </w:tc>
      </w:tr>
      <w:tr w:rsidR="00606AE4" w:rsidRPr="00CF234F" w:rsidTr="002D3C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0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rPr>
                <w:rFonts w:ascii="TimesNewRomanPS" w:hAnsi="TimesNewRomanPS"/>
                <w:b w:val="0"/>
                <w:bCs w:val="0"/>
                <w:sz w:val="22"/>
                <w:szCs w:val="22"/>
                <w:vertAlign w:val="superscript"/>
                <w:lang w:val="en-US"/>
              </w:rPr>
            </w:pPr>
            <w:r w:rsidRPr="00CF234F">
              <w:rPr>
                <w:rFonts w:ascii="TimesNewRomanPS" w:hAnsi="TimesNewRomanPS"/>
                <w:b w:val="0"/>
                <w:bCs w:val="0"/>
                <w:sz w:val="22"/>
                <w:szCs w:val="22"/>
                <w:lang w:val="en-US"/>
              </w:rPr>
              <w:t>n-9</w:t>
            </w:r>
            <w:r w:rsidRPr="00CF234F">
              <w:rPr>
                <w:rFonts w:ascii="TimesNewRomanPS" w:hAnsi="TimesNewRomanPS"/>
                <w:b w:val="0"/>
                <w:bCs w:val="0"/>
                <w:sz w:val="22"/>
                <w:szCs w:val="22"/>
                <w:vertAlign w:val="superscript"/>
                <w:lang w:val="en-US"/>
              </w:rPr>
              <w:t>c</w:t>
            </w:r>
          </w:p>
        </w:tc>
        <w:tc>
          <w:tcPr>
            <w:tcW w:w="1360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-0.1591</w:t>
            </w:r>
          </w:p>
        </w:tc>
        <w:tc>
          <w:tcPr>
            <w:tcW w:w="1607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-0.4755-0.1938</w:t>
            </w:r>
          </w:p>
        </w:tc>
        <w:tc>
          <w:tcPr>
            <w:tcW w:w="1379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0.3613</w:t>
            </w: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br/>
              <w:t>(0.6465)</w:t>
            </w:r>
          </w:p>
        </w:tc>
        <w:tc>
          <w:tcPr>
            <w:tcW w:w="1253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-0.2007</w:t>
            </w:r>
          </w:p>
        </w:tc>
        <w:tc>
          <w:tcPr>
            <w:tcW w:w="1598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-0.5541-0.2140</w:t>
            </w:r>
          </w:p>
        </w:tc>
        <w:tc>
          <w:tcPr>
            <w:tcW w:w="1408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color w:val="000000" w:themeColor="text1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color w:val="000000" w:themeColor="text1"/>
                <w:sz w:val="22"/>
                <w:szCs w:val="22"/>
                <w:lang w:val="en-US"/>
              </w:rPr>
              <w:t>0.3256 (0.6343)</w:t>
            </w:r>
          </w:p>
        </w:tc>
      </w:tr>
      <w:tr w:rsidR="00606AE4" w:rsidRPr="00CF234F" w:rsidTr="002D3C11">
        <w:trPr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0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rPr>
                <w:rFonts w:ascii="TimesNewRomanPS" w:hAnsi="TimesNewRomanPS"/>
                <w:b w:val="0"/>
                <w:bCs w:val="0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b w:val="0"/>
                <w:bCs w:val="0"/>
                <w:sz w:val="22"/>
                <w:szCs w:val="22"/>
                <w:lang w:val="en-US"/>
              </w:rPr>
              <w:t xml:space="preserve">EPA 20:5 </w:t>
            </w:r>
            <w:r w:rsidRPr="00CF234F">
              <w:rPr>
                <w:rFonts w:asciiTheme="majorBidi" w:hAnsiTheme="majorBidi" w:cstheme="majorBidi"/>
                <w:b w:val="0"/>
                <w:bCs w:val="0"/>
                <w:sz w:val="22"/>
                <w:szCs w:val="22"/>
                <w:lang w:val="en-US"/>
              </w:rPr>
              <w:br/>
              <w:t>(n-3)</w:t>
            </w:r>
          </w:p>
        </w:tc>
        <w:tc>
          <w:tcPr>
            <w:tcW w:w="1360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-0.0726</w:t>
            </w:r>
          </w:p>
        </w:tc>
        <w:tc>
          <w:tcPr>
            <w:tcW w:w="1607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-0.4048-0.2766</w:t>
            </w:r>
          </w:p>
        </w:tc>
        <w:tc>
          <w:tcPr>
            <w:tcW w:w="1379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 xml:space="preserve">0.6788 </w:t>
            </w: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br/>
              <w:t>(0.8750)</w:t>
            </w:r>
          </w:p>
        </w:tc>
        <w:tc>
          <w:tcPr>
            <w:tcW w:w="1253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0.5624</w:t>
            </w:r>
          </w:p>
        </w:tc>
        <w:tc>
          <w:tcPr>
            <w:tcW w:w="1598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0.2123-0.7845</w:t>
            </w:r>
          </w:p>
        </w:tc>
        <w:tc>
          <w:tcPr>
            <w:tcW w:w="1408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color w:val="000000" w:themeColor="text1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color w:val="000000" w:themeColor="text1"/>
                <w:sz w:val="22"/>
                <w:szCs w:val="22"/>
                <w:lang w:val="en-US"/>
              </w:rPr>
              <w:t>0.0028</w:t>
            </w:r>
            <w:r w:rsidRPr="00CF234F">
              <w:rPr>
                <w:rFonts w:asciiTheme="majorBidi" w:hAnsiTheme="majorBidi" w:cstheme="majorBidi"/>
                <w:color w:val="000000" w:themeColor="text1"/>
                <w:sz w:val="22"/>
                <w:szCs w:val="22"/>
                <w:lang w:val="en-US"/>
              </w:rPr>
              <w:br/>
              <w:t>(</w:t>
            </w:r>
            <w:r w:rsidRPr="00CF234F">
              <w:rPr>
                <w:rFonts w:asciiTheme="majorBidi" w:hAnsiTheme="majorBidi" w:cstheme="majorBidi"/>
                <w:b/>
                <w:bCs/>
                <w:color w:val="000000" w:themeColor="text1"/>
                <w:sz w:val="22"/>
                <w:szCs w:val="22"/>
                <w:lang w:val="en-US"/>
              </w:rPr>
              <w:t>0.0476</w:t>
            </w:r>
            <w:r w:rsidRPr="00CF234F">
              <w:rPr>
                <w:rFonts w:asciiTheme="majorBidi" w:hAnsiTheme="majorBidi" w:cstheme="majorBidi"/>
                <w:color w:val="000000" w:themeColor="text1"/>
                <w:sz w:val="22"/>
                <w:szCs w:val="22"/>
                <w:lang w:val="en-US"/>
              </w:rPr>
              <w:t>)</w:t>
            </w:r>
          </w:p>
        </w:tc>
      </w:tr>
      <w:tr w:rsidR="00606AE4" w:rsidRPr="00CF234F" w:rsidTr="002D3C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0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rPr>
                <w:rFonts w:asciiTheme="majorBidi" w:hAnsiTheme="majorBidi" w:cstheme="majorBidi"/>
                <w:b w:val="0"/>
                <w:bCs w:val="0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b w:val="0"/>
                <w:bCs w:val="0"/>
                <w:sz w:val="22"/>
                <w:szCs w:val="22"/>
                <w:lang w:val="en-US"/>
              </w:rPr>
              <w:t xml:space="preserve">DPA 22:5 </w:t>
            </w:r>
            <w:r w:rsidRPr="00CF234F">
              <w:rPr>
                <w:rFonts w:asciiTheme="majorBidi" w:hAnsiTheme="majorBidi" w:cstheme="majorBidi"/>
                <w:b w:val="0"/>
                <w:bCs w:val="0"/>
                <w:sz w:val="22"/>
                <w:szCs w:val="22"/>
                <w:lang w:val="en-US"/>
              </w:rPr>
              <w:br/>
              <w:t>(n-3)</w:t>
            </w:r>
          </w:p>
        </w:tc>
        <w:tc>
          <w:tcPr>
            <w:tcW w:w="1360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0.0087</w:t>
            </w:r>
          </w:p>
        </w:tc>
        <w:tc>
          <w:tcPr>
            <w:tcW w:w="1607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-0.3346-0.35</w:t>
            </w:r>
          </w:p>
        </w:tc>
        <w:tc>
          <w:tcPr>
            <w:tcW w:w="1379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0.9605</w:t>
            </w: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br/>
              <w:t>(0.9774)</w:t>
            </w:r>
          </w:p>
        </w:tc>
        <w:tc>
          <w:tcPr>
            <w:tcW w:w="1253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0.4906</w:t>
            </w:r>
          </w:p>
        </w:tc>
        <w:tc>
          <w:tcPr>
            <w:tcW w:w="1598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0.1156-0.7432</w:t>
            </w:r>
          </w:p>
        </w:tc>
        <w:tc>
          <w:tcPr>
            <w:tcW w:w="1408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color w:val="000000" w:themeColor="text1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color w:val="000000" w:themeColor="text1"/>
                <w:sz w:val="22"/>
                <w:szCs w:val="22"/>
                <w:lang w:val="en-US"/>
              </w:rPr>
              <w:t>0.0109 (0.0741)</w:t>
            </w:r>
          </w:p>
        </w:tc>
      </w:tr>
      <w:tr w:rsidR="00606AE4" w:rsidRPr="00CF234F" w:rsidTr="002D3C11">
        <w:trPr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0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rPr>
                <w:rFonts w:asciiTheme="majorBidi" w:hAnsiTheme="majorBidi" w:cstheme="majorBidi"/>
                <w:b w:val="0"/>
                <w:bCs w:val="0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b w:val="0"/>
                <w:bCs w:val="0"/>
                <w:sz w:val="22"/>
                <w:szCs w:val="22"/>
                <w:lang w:val="en-US"/>
              </w:rPr>
              <w:t xml:space="preserve">DHA 22:6 </w:t>
            </w:r>
            <w:r w:rsidRPr="00CF234F">
              <w:rPr>
                <w:rFonts w:asciiTheme="majorBidi" w:hAnsiTheme="majorBidi" w:cstheme="majorBidi"/>
                <w:b w:val="0"/>
                <w:bCs w:val="0"/>
                <w:sz w:val="22"/>
                <w:szCs w:val="22"/>
                <w:lang w:val="en-US"/>
              </w:rPr>
              <w:br/>
              <w:t>(n-3)</w:t>
            </w:r>
          </w:p>
        </w:tc>
        <w:tc>
          <w:tcPr>
            <w:tcW w:w="1360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-0.1283</w:t>
            </w:r>
          </w:p>
        </w:tc>
        <w:tc>
          <w:tcPr>
            <w:tcW w:w="1607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-0.4508-0.2239</w:t>
            </w:r>
          </w:p>
        </w:tc>
        <w:tc>
          <w:tcPr>
            <w:tcW w:w="1379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 xml:space="preserve">0.4627 </w:t>
            </w: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br/>
              <w:t>(0.7491)</w:t>
            </w:r>
          </w:p>
        </w:tc>
        <w:tc>
          <w:tcPr>
            <w:tcW w:w="1253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0.4270</w:t>
            </w:r>
          </w:p>
        </w:tc>
        <w:tc>
          <w:tcPr>
            <w:tcW w:w="1598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0.3545-0.7049</w:t>
            </w:r>
          </w:p>
        </w:tc>
        <w:tc>
          <w:tcPr>
            <w:tcW w:w="1408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color w:val="000000" w:themeColor="text1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color w:val="000000" w:themeColor="text1"/>
                <w:sz w:val="22"/>
                <w:szCs w:val="22"/>
                <w:lang w:val="en-US"/>
              </w:rPr>
              <w:t>0.0296</w:t>
            </w:r>
            <w:r w:rsidRPr="00CF234F">
              <w:rPr>
                <w:rFonts w:asciiTheme="majorBidi" w:hAnsiTheme="majorBidi" w:cstheme="majorBidi"/>
                <w:color w:val="000000" w:themeColor="text1"/>
                <w:sz w:val="22"/>
                <w:szCs w:val="22"/>
                <w:lang w:val="en-US"/>
              </w:rPr>
              <w:br/>
              <w:t>(0.1258)</w:t>
            </w:r>
          </w:p>
        </w:tc>
      </w:tr>
      <w:tr w:rsidR="00606AE4" w:rsidRPr="00CF234F" w:rsidTr="002D3C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0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rPr>
                <w:rFonts w:asciiTheme="majorBidi" w:hAnsiTheme="majorBidi" w:cstheme="majorBidi"/>
                <w:b w:val="0"/>
                <w:bCs w:val="0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b w:val="0"/>
                <w:bCs w:val="0"/>
                <w:sz w:val="22"/>
                <w:szCs w:val="22"/>
                <w:lang w:val="en-US"/>
              </w:rPr>
              <w:t xml:space="preserve">ARA 20:4 </w:t>
            </w:r>
            <w:r w:rsidRPr="00CF234F">
              <w:rPr>
                <w:rFonts w:asciiTheme="majorBidi" w:hAnsiTheme="majorBidi" w:cstheme="majorBidi"/>
                <w:b w:val="0"/>
                <w:bCs w:val="0"/>
                <w:sz w:val="22"/>
                <w:szCs w:val="22"/>
                <w:lang w:val="en-US"/>
              </w:rPr>
              <w:br/>
              <w:t>(n-6)</w:t>
            </w:r>
          </w:p>
        </w:tc>
        <w:tc>
          <w:tcPr>
            <w:tcW w:w="1360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0.0092</w:t>
            </w:r>
          </w:p>
        </w:tc>
        <w:tc>
          <w:tcPr>
            <w:tcW w:w="1607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-0.3341-0.3505</w:t>
            </w:r>
          </w:p>
        </w:tc>
        <w:tc>
          <w:tcPr>
            <w:tcW w:w="1379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 xml:space="preserve">0.9580  </w:t>
            </w: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br/>
              <w:t>(0.9774)</w:t>
            </w:r>
          </w:p>
        </w:tc>
        <w:tc>
          <w:tcPr>
            <w:tcW w:w="1253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-0.2732</w:t>
            </w:r>
          </w:p>
        </w:tc>
        <w:tc>
          <w:tcPr>
            <w:tcW w:w="1598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-0.6050-0.1396</w:t>
            </w:r>
          </w:p>
        </w:tc>
        <w:tc>
          <w:tcPr>
            <w:tcW w:w="1408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color w:val="000000" w:themeColor="text1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color w:val="000000" w:themeColor="text1"/>
                <w:sz w:val="22"/>
                <w:szCs w:val="22"/>
                <w:lang w:val="en-US"/>
              </w:rPr>
              <w:t>0.177 (0.4629)</w:t>
            </w:r>
          </w:p>
        </w:tc>
      </w:tr>
      <w:tr w:rsidR="00606AE4" w:rsidRPr="00CF234F" w:rsidTr="002D3C11">
        <w:trPr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0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rPr>
                <w:rFonts w:asciiTheme="majorBidi" w:hAnsiTheme="majorBidi" w:cstheme="majorBidi"/>
                <w:b w:val="0"/>
                <w:bCs w:val="0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b w:val="0"/>
                <w:bCs w:val="0"/>
                <w:sz w:val="22"/>
                <w:szCs w:val="22"/>
                <w:lang w:val="en-US"/>
              </w:rPr>
              <w:t>Oleic acid 18:1 (n-9)</w:t>
            </w:r>
          </w:p>
        </w:tc>
        <w:tc>
          <w:tcPr>
            <w:tcW w:w="1360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-0.0832</w:t>
            </w:r>
          </w:p>
        </w:tc>
        <w:tc>
          <w:tcPr>
            <w:tcW w:w="1607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-0.4137-0.2667</w:t>
            </w:r>
          </w:p>
        </w:tc>
        <w:tc>
          <w:tcPr>
            <w:tcW w:w="1379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0.6347</w:t>
            </w: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br/>
              <w:t>(0.8632)</w:t>
            </w:r>
          </w:p>
        </w:tc>
        <w:tc>
          <w:tcPr>
            <w:tcW w:w="1253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-0.2000</w:t>
            </w:r>
          </w:p>
        </w:tc>
        <w:tc>
          <w:tcPr>
            <w:tcW w:w="1598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-0.5536-0.2146</w:t>
            </w:r>
          </w:p>
        </w:tc>
        <w:tc>
          <w:tcPr>
            <w:tcW w:w="1408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color w:val="000000" w:themeColor="text1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color w:val="000000" w:themeColor="text1"/>
                <w:sz w:val="22"/>
                <w:szCs w:val="22"/>
                <w:lang w:val="en-US"/>
              </w:rPr>
              <w:t>0.3273 (0.6343)</w:t>
            </w:r>
          </w:p>
        </w:tc>
      </w:tr>
      <w:tr w:rsidR="00606AE4" w:rsidRPr="00CF234F" w:rsidTr="002D3C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75" w:type="dxa"/>
            <w:gridSpan w:val="7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rPr>
                <w:rFonts w:ascii="TimesNewRomanPS" w:hAnsi="TimesNewRomanPS"/>
                <w:b w:val="0"/>
                <w:bCs w:val="0"/>
                <w:color w:val="000000" w:themeColor="text1"/>
                <w:sz w:val="22"/>
                <w:szCs w:val="22"/>
                <w:lang w:val="en-US"/>
              </w:rPr>
            </w:pPr>
            <w:r w:rsidRPr="00CF234F">
              <w:rPr>
                <w:rFonts w:ascii="TimesNewRomanPS" w:hAnsi="TimesNewRomanPS"/>
                <w:b w:val="0"/>
                <w:bCs w:val="0"/>
                <w:color w:val="000000" w:themeColor="text1"/>
                <w:sz w:val="22"/>
                <w:szCs w:val="22"/>
                <w:lang w:val="en-US"/>
              </w:rPr>
              <w:t>Plasma PUFA</w:t>
            </w:r>
          </w:p>
        </w:tc>
      </w:tr>
      <w:tr w:rsidR="00606AE4" w:rsidRPr="00CF234F" w:rsidTr="002D3C11">
        <w:trPr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0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rPr>
                <w:rFonts w:ascii="TimesNewRomanPS" w:hAnsi="TimesNewRomanPS"/>
                <w:b w:val="0"/>
                <w:bCs w:val="0"/>
                <w:sz w:val="22"/>
                <w:szCs w:val="22"/>
                <w:lang w:val="en-US"/>
              </w:rPr>
            </w:pPr>
            <w:r w:rsidRPr="00CF234F">
              <w:rPr>
                <w:rFonts w:ascii="TimesNewRomanPS" w:hAnsi="TimesNewRomanPS"/>
                <w:b w:val="0"/>
                <w:bCs w:val="0"/>
                <w:sz w:val="22"/>
                <w:szCs w:val="22"/>
                <w:lang w:val="en-US"/>
              </w:rPr>
              <w:t>n-3</w:t>
            </w:r>
            <w:r w:rsidRPr="00CF234F">
              <w:rPr>
                <w:rFonts w:ascii="TimesNewRomanPS" w:hAnsi="TimesNewRomanPS"/>
                <w:b w:val="0"/>
                <w:bCs w:val="0"/>
                <w:sz w:val="22"/>
                <w:szCs w:val="22"/>
                <w:vertAlign w:val="superscript"/>
                <w:lang w:val="en-US"/>
              </w:rPr>
              <w:t>d</w:t>
            </w:r>
          </w:p>
        </w:tc>
        <w:tc>
          <w:tcPr>
            <w:tcW w:w="1360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-0.0293</w:t>
            </w:r>
          </w:p>
        </w:tc>
        <w:tc>
          <w:tcPr>
            <w:tcW w:w="1607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-0.3112-0.3632</w:t>
            </w:r>
          </w:p>
        </w:tc>
        <w:tc>
          <w:tcPr>
            <w:tcW w:w="1379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0.8651</w:t>
            </w: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br/>
              <w:t>(0.9774)</w:t>
            </w:r>
          </w:p>
        </w:tc>
        <w:tc>
          <w:tcPr>
            <w:tcW w:w="1253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0.3074</w:t>
            </w:r>
          </w:p>
        </w:tc>
        <w:tc>
          <w:tcPr>
            <w:tcW w:w="1598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-0.1028-0.6282</w:t>
            </w:r>
          </w:p>
        </w:tc>
        <w:tc>
          <w:tcPr>
            <w:tcW w:w="1408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color w:val="000000" w:themeColor="text1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color w:val="000000" w:themeColor="text1"/>
                <w:sz w:val="22"/>
                <w:szCs w:val="22"/>
                <w:lang w:val="en-US"/>
              </w:rPr>
              <w:t>0.1267 (0.3916)</w:t>
            </w:r>
          </w:p>
        </w:tc>
      </w:tr>
      <w:tr w:rsidR="00606AE4" w:rsidRPr="00CF234F" w:rsidTr="002D3C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0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rPr>
                <w:rFonts w:ascii="TimesNewRomanPS" w:hAnsi="TimesNewRomanPS"/>
                <w:b w:val="0"/>
                <w:bCs w:val="0"/>
                <w:sz w:val="22"/>
                <w:szCs w:val="22"/>
                <w:vertAlign w:val="superscript"/>
                <w:lang w:val="en-US"/>
              </w:rPr>
            </w:pPr>
            <w:r w:rsidRPr="00CF234F">
              <w:rPr>
                <w:rFonts w:ascii="TimesNewRomanPS" w:hAnsi="TimesNewRomanPS"/>
                <w:b w:val="0"/>
                <w:bCs w:val="0"/>
                <w:sz w:val="22"/>
                <w:szCs w:val="22"/>
                <w:lang w:val="en-US"/>
              </w:rPr>
              <w:t>n-6</w:t>
            </w:r>
            <w:r w:rsidRPr="00CF234F">
              <w:rPr>
                <w:rFonts w:ascii="TimesNewRomanPS" w:hAnsi="TimesNewRomanPS"/>
                <w:b w:val="0"/>
                <w:bCs w:val="0"/>
                <w:sz w:val="22"/>
                <w:szCs w:val="22"/>
                <w:vertAlign w:val="superscript"/>
                <w:lang w:val="en-US"/>
              </w:rPr>
              <w:t>e</w:t>
            </w:r>
          </w:p>
        </w:tc>
        <w:tc>
          <w:tcPr>
            <w:tcW w:w="1360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0.3449</w:t>
            </w:r>
          </w:p>
        </w:tc>
        <w:tc>
          <w:tcPr>
            <w:tcW w:w="1607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0.0084-0.6113</w:t>
            </w:r>
          </w:p>
        </w:tc>
        <w:tc>
          <w:tcPr>
            <w:tcW w:w="1379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b/>
                <w:bCs/>
                <w:sz w:val="22"/>
                <w:szCs w:val="22"/>
                <w:lang w:val="en-US"/>
              </w:rPr>
              <w:t xml:space="preserve">0.0396 </w:t>
            </w:r>
            <w:r w:rsidRPr="00CF234F">
              <w:rPr>
                <w:rFonts w:asciiTheme="majorBidi" w:hAnsiTheme="majorBidi" w:cstheme="majorBidi"/>
                <w:b/>
                <w:bCs/>
                <w:sz w:val="22"/>
                <w:szCs w:val="22"/>
                <w:lang w:val="en-US"/>
              </w:rPr>
              <w:br/>
            </w: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(0.1496)</w:t>
            </w:r>
          </w:p>
        </w:tc>
        <w:tc>
          <w:tcPr>
            <w:tcW w:w="1253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-0.5296</w:t>
            </w:r>
          </w:p>
        </w:tc>
        <w:tc>
          <w:tcPr>
            <w:tcW w:w="1598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-0.7659- -0.1672</w:t>
            </w:r>
          </w:p>
        </w:tc>
        <w:tc>
          <w:tcPr>
            <w:tcW w:w="1408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color w:val="000000" w:themeColor="text1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b/>
                <w:bCs/>
                <w:color w:val="000000" w:themeColor="text1"/>
                <w:sz w:val="22"/>
                <w:szCs w:val="22"/>
                <w:lang w:val="en-US"/>
              </w:rPr>
              <w:t>0.0054</w:t>
            </w:r>
            <w:r w:rsidRPr="00CF234F">
              <w:rPr>
                <w:rFonts w:asciiTheme="majorBidi" w:hAnsiTheme="majorBidi" w:cstheme="majorBidi"/>
                <w:color w:val="000000" w:themeColor="text1"/>
                <w:sz w:val="22"/>
                <w:szCs w:val="22"/>
                <w:lang w:val="en-US"/>
              </w:rPr>
              <w:t xml:space="preserve"> (0.0612)</w:t>
            </w:r>
          </w:p>
        </w:tc>
      </w:tr>
      <w:tr w:rsidR="00606AE4" w:rsidRPr="00CF234F" w:rsidTr="002D3C11">
        <w:trPr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0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rPr>
                <w:rFonts w:ascii="TimesNewRomanPS" w:hAnsi="TimesNewRomanPS"/>
                <w:b w:val="0"/>
                <w:bCs w:val="0"/>
                <w:sz w:val="22"/>
                <w:szCs w:val="22"/>
                <w:vertAlign w:val="superscript"/>
                <w:lang w:val="en-US"/>
              </w:rPr>
            </w:pPr>
            <w:r w:rsidRPr="00CF234F">
              <w:rPr>
                <w:rFonts w:ascii="TimesNewRomanPS" w:hAnsi="TimesNewRomanPS"/>
                <w:b w:val="0"/>
                <w:bCs w:val="0"/>
                <w:sz w:val="22"/>
                <w:szCs w:val="22"/>
                <w:lang w:val="en-US"/>
              </w:rPr>
              <w:t>n-9</w:t>
            </w:r>
            <w:r w:rsidRPr="00CF234F">
              <w:rPr>
                <w:rFonts w:ascii="TimesNewRomanPS" w:hAnsi="TimesNewRomanPS"/>
                <w:b w:val="0"/>
                <w:bCs w:val="0"/>
                <w:sz w:val="22"/>
                <w:szCs w:val="22"/>
                <w:vertAlign w:val="superscript"/>
                <w:lang w:val="en-US"/>
              </w:rPr>
              <w:t>f</w:t>
            </w:r>
          </w:p>
        </w:tc>
        <w:tc>
          <w:tcPr>
            <w:tcW w:w="1360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-0.21</w:t>
            </w:r>
          </w:p>
        </w:tc>
        <w:tc>
          <w:tcPr>
            <w:tcW w:w="1607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-0.5113-0.1372</w:t>
            </w:r>
          </w:p>
        </w:tc>
        <w:tc>
          <w:tcPr>
            <w:tcW w:w="1379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0.2189</w:t>
            </w: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br/>
              <w:t>(0.4962)</w:t>
            </w:r>
          </w:p>
        </w:tc>
        <w:tc>
          <w:tcPr>
            <w:tcW w:w="1253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0.07282</w:t>
            </w:r>
          </w:p>
        </w:tc>
        <w:tc>
          <w:tcPr>
            <w:tcW w:w="1598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-0.3344-0.4572</w:t>
            </w:r>
          </w:p>
        </w:tc>
        <w:tc>
          <w:tcPr>
            <w:tcW w:w="1408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color w:val="000000" w:themeColor="text1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color w:val="000000" w:themeColor="text1"/>
                <w:sz w:val="22"/>
                <w:szCs w:val="22"/>
                <w:lang w:val="en-US"/>
              </w:rPr>
              <w:t>0.7237 (0.8750)</w:t>
            </w:r>
          </w:p>
        </w:tc>
      </w:tr>
      <w:tr w:rsidR="00606AE4" w:rsidRPr="00CF234F" w:rsidTr="002D3C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0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rPr>
                <w:rFonts w:ascii="TimesNewRomanPS" w:hAnsi="TimesNewRomanPS"/>
                <w:b w:val="0"/>
                <w:bCs w:val="0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b w:val="0"/>
                <w:bCs w:val="0"/>
                <w:sz w:val="22"/>
                <w:szCs w:val="22"/>
                <w:lang w:val="en-US"/>
              </w:rPr>
              <w:t xml:space="preserve">EPA20:5 </w:t>
            </w:r>
            <w:r w:rsidRPr="00CF234F">
              <w:rPr>
                <w:rFonts w:asciiTheme="majorBidi" w:hAnsiTheme="majorBidi" w:cstheme="majorBidi"/>
                <w:b w:val="0"/>
                <w:bCs w:val="0"/>
                <w:sz w:val="22"/>
                <w:szCs w:val="22"/>
                <w:lang w:val="en-US"/>
              </w:rPr>
              <w:br/>
              <w:t>(n-3)</w:t>
            </w:r>
          </w:p>
        </w:tc>
        <w:tc>
          <w:tcPr>
            <w:tcW w:w="1360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0.0049</w:t>
            </w:r>
          </w:p>
        </w:tc>
        <w:tc>
          <w:tcPr>
            <w:tcW w:w="1607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-0.3332-0.3418</w:t>
            </w:r>
          </w:p>
        </w:tc>
        <w:tc>
          <w:tcPr>
            <w:tcW w:w="1379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 xml:space="preserve">0.9774 </w:t>
            </w: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br/>
              <w:t>(0.9774)</w:t>
            </w:r>
          </w:p>
        </w:tc>
        <w:tc>
          <w:tcPr>
            <w:tcW w:w="1253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0.06667</w:t>
            </w:r>
          </w:p>
        </w:tc>
        <w:tc>
          <w:tcPr>
            <w:tcW w:w="1598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-0.3399-0.4523</w:t>
            </w:r>
          </w:p>
        </w:tc>
        <w:tc>
          <w:tcPr>
            <w:tcW w:w="1408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color w:val="000000" w:themeColor="text1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color w:val="000000" w:themeColor="text1"/>
                <w:sz w:val="22"/>
                <w:szCs w:val="22"/>
                <w:lang w:val="en-US"/>
              </w:rPr>
              <w:t>0.7463 (0.8750)</w:t>
            </w:r>
          </w:p>
        </w:tc>
      </w:tr>
      <w:tr w:rsidR="00606AE4" w:rsidRPr="00CF234F" w:rsidTr="002D3C11">
        <w:trPr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0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b w:val="0"/>
                <w:bCs w:val="0"/>
                <w:sz w:val="22"/>
                <w:szCs w:val="22"/>
                <w:lang w:val="en-US"/>
              </w:rPr>
              <w:t>DPA22:5</w:t>
            </w:r>
            <w:r w:rsidRPr="00CF234F">
              <w:rPr>
                <w:rFonts w:asciiTheme="majorBidi" w:hAnsiTheme="majorBidi" w:cstheme="majorBidi"/>
                <w:b w:val="0"/>
                <w:bCs w:val="0"/>
                <w:sz w:val="22"/>
                <w:szCs w:val="22"/>
                <w:lang w:val="en-US"/>
              </w:rPr>
              <w:br/>
              <w:t>(n-3)</w:t>
            </w:r>
          </w:p>
        </w:tc>
        <w:tc>
          <w:tcPr>
            <w:tcW w:w="1360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0.2108</w:t>
            </w:r>
          </w:p>
        </w:tc>
        <w:tc>
          <w:tcPr>
            <w:tcW w:w="1607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-0.1364-0.5119</w:t>
            </w:r>
          </w:p>
        </w:tc>
        <w:tc>
          <w:tcPr>
            <w:tcW w:w="1379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 xml:space="preserve">0.2171 </w:t>
            </w: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br/>
              <w:t>(0.4962)</w:t>
            </w:r>
          </w:p>
        </w:tc>
        <w:tc>
          <w:tcPr>
            <w:tcW w:w="1253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0.1631</w:t>
            </w:r>
          </w:p>
        </w:tc>
        <w:tc>
          <w:tcPr>
            <w:tcW w:w="1598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-0.2508-0.5265</w:t>
            </w:r>
          </w:p>
        </w:tc>
        <w:tc>
          <w:tcPr>
            <w:tcW w:w="1408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color w:val="000000" w:themeColor="text1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color w:val="000000" w:themeColor="text1"/>
                <w:sz w:val="22"/>
                <w:szCs w:val="22"/>
                <w:lang w:val="en-US"/>
              </w:rPr>
              <w:t>0.4260 (0.7242)</w:t>
            </w:r>
          </w:p>
        </w:tc>
      </w:tr>
      <w:tr w:rsidR="00606AE4" w:rsidRPr="00CF234F" w:rsidTr="002D3C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0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b w:val="0"/>
                <w:bCs w:val="0"/>
                <w:sz w:val="22"/>
                <w:szCs w:val="22"/>
                <w:lang w:val="en-US"/>
              </w:rPr>
              <w:t xml:space="preserve">DHA22:6 </w:t>
            </w: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br/>
            </w:r>
            <w:r w:rsidRPr="00CF234F">
              <w:rPr>
                <w:rFonts w:asciiTheme="majorBidi" w:hAnsiTheme="majorBidi" w:cstheme="majorBidi"/>
                <w:b w:val="0"/>
                <w:bCs w:val="0"/>
                <w:sz w:val="22"/>
                <w:szCs w:val="22"/>
                <w:lang w:val="en-US"/>
              </w:rPr>
              <w:t>(n-3)</w:t>
            </w:r>
          </w:p>
        </w:tc>
        <w:tc>
          <w:tcPr>
            <w:tcW w:w="1360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-0.02</w:t>
            </w:r>
          </w:p>
        </w:tc>
        <w:tc>
          <w:tcPr>
            <w:tcW w:w="1607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-0.3552-0.3196</w:t>
            </w:r>
          </w:p>
        </w:tc>
        <w:tc>
          <w:tcPr>
            <w:tcW w:w="1379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 xml:space="preserve">0.9075 </w:t>
            </w: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br/>
              <w:t>(0.9774)</w:t>
            </w:r>
          </w:p>
        </w:tc>
        <w:tc>
          <w:tcPr>
            <w:tcW w:w="1253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0.3737</w:t>
            </w:r>
          </w:p>
        </w:tc>
        <w:tc>
          <w:tcPr>
            <w:tcW w:w="1598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-0.02807-0.6715</w:t>
            </w:r>
          </w:p>
        </w:tc>
        <w:tc>
          <w:tcPr>
            <w:tcW w:w="1408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color w:val="000000" w:themeColor="text1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color w:val="000000" w:themeColor="text1"/>
                <w:sz w:val="22"/>
                <w:szCs w:val="22"/>
                <w:lang w:val="en-US"/>
              </w:rPr>
              <w:t>0.06</w:t>
            </w:r>
            <w:r w:rsidRPr="00CF234F">
              <w:rPr>
                <w:rFonts w:asciiTheme="majorBidi" w:hAnsiTheme="majorBidi" w:cstheme="majorBidi"/>
                <w:color w:val="000000" w:themeColor="text1"/>
                <w:sz w:val="22"/>
                <w:szCs w:val="22"/>
                <w:lang w:val="en-US"/>
              </w:rPr>
              <w:br/>
              <w:t>(0.2040)</w:t>
            </w:r>
          </w:p>
        </w:tc>
      </w:tr>
      <w:tr w:rsidR="00606AE4" w:rsidRPr="00CF234F" w:rsidTr="002D3C11">
        <w:trPr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0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b w:val="0"/>
                <w:bCs w:val="0"/>
                <w:sz w:val="22"/>
                <w:szCs w:val="22"/>
                <w:lang w:val="en-US"/>
              </w:rPr>
              <w:t xml:space="preserve">ARA20:4 </w:t>
            </w:r>
            <w:r w:rsidRPr="00CF234F">
              <w:rPr>
                <w:rFonts w:asciiTheme="majorBidi" w:hAnsiTheme="majorBidi" w:cstheme="majorBidi"/>
                <w:b w:val="0"/>
                <w:bCs w:val="0"/>
                <w:sz w:val="22"/>
                <w:szCs w:val="22"/>
                <w:lang w:val="en-US"/>
              </w:rPr>
              <w:br/>
              <w:t>(n-6)</w:t>
            </w:r>
          </w:p>
        </w:tc>
        <w:tc>
          <w:tcPr>
            <w:tcW w:w="1360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0.0963</w:t>
            </w:r>
          </w:p>
        </w:tc>
        <w:tc>
          <w:tcPr>
            <w:tcW w:w="1607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-0.2493-0,4291</w:t>
            </w:r>
          </w:p>
        </w:tc>
        <w:tc>
          <w:tcPr>
            <w:tcW w:w="1379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 xml:space="preserve">0.5765 </w:t>
            </w: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br/>
              <w:t>(0.8522)</w:t>
            </w:r>
          </w:p>
        </w:tc>
        <w:tc>
          <w:tcPr>
            <w:tcW w:w="1253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-0.1966</w:t>
            </w:r>
          </w:p>
        </w:tc>
        <w:tc>
          <w:tcPr>
            <w:tcW w:w="1598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-0.5511-0.2180</w:t>
            </w:r>
          </w:p>
        </w:tc>
        <w:tc>
          <w:tcPr>
            <w:tcW w:w="1408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color w:val="000000" w:themeColor="text1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color w:val="000000" w:themeColor="text1"/>
                <w:sz w:val="22"/>
                <w:szCs w:val="22"/>
                <w:lang w:val="en-US"/>
              </w:rPr>
              <w:t>0.3358 (0.6343)</w:t>
            </w:r>
          </w:p>
        </w:tc>
      </w:tr>
      <w:tr w:rsidR="00606AE4" w:rsidRPr="00CF234F" w:rsidTr="002D3C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0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b w:val="0"/>
                <w:bCs w:val="0"/>
                <w:sz w:val="22"/>
                <w:szCs w:val="22"/>
                <w:lang w:val="en-US"/>
              </w:rPr>
              <w:t>Oleic acid 18:1 (n-9)</w:t>
            </w:r>
          </w:p>
        </w:tc>
        <w:tc>
          <w:tcPr>
            <w:tcW w:w="1360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-0.3683</w:t>
            </w:r>
          </w:p>
        </w:tc>
        <w:tc>
          <w:tcPr>
            <w:tcW w:w="1607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-0.6278-0.0352</w:t>
            </w:r>
          </w:p>
        </w:tc>
        <w:tc>
          <w:tcPr>
            <w:tcW w:w="1379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b/>
                <w:bCs/>
                <w:sz w:val="22"/>
                <w:szCs w:val="22"/>
                <w:lang w:val="en-US"/>
              </w:rPr>
              <w:t xml:space="preserve">0.0271 </w:t>
            </w:r>
            <w:r w:rsidRPr="00CF234F">
              <w:rPr>
                <w:rFonts w:asciiTheme="majorBidi" w:hAnsiTheme="majorBidi" w:cstheme="majorBidi"/>
                <w:b/>
                <w:bCs/>
                <w:sz w:val="22"/>
                <w:szCs w:val="22"/>
                <w:lang w:val="en-US"/>
              </w:rPr>
              <w:br/>
            </w: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(0.1258)</w:t>
            </w:r>
          </w:p>
        </w:tc>
        <w:tc>
          <w:tcPr>
            <w:tcW w:w="1253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0.5070</w:t>
            </w:r>
          </w:p>
        </w:tc>
        <w:tc>
          <w:tcPr>
            <w:tcW w:w="1598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sz w:val="22"/>
                <w:szCs w:val="22"/>
                <w:lang w:val="en-US"/>
              </w:rPr>
              <w:t>0.1371-0.7528</w:t>
            </w:r>
          </w:p>
        </w:tc>
        <w:tc>
          <w:tcPr>
            <w:tcW w:w="1408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</w:tcPr>
          <w:p w:rsidR="00606AE4" w:rsidRPr="00CF234F" w:rsidRDefault="00606AE4" w:rsidP="002D3C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color w:val="000000" w:themeColor="text1"/>
                <w:sz w:val="22"/>
                <w:szCs w:val="22"/>
                <w:lang w:val="en-US"/>
              </w:rPr>
            </w:pPr>
            <w:r w:rsidRPr="00CF234F">
              <w:rPr>
                <w:rFonts w:asciiTheme="majorBidi" w:hAnsiTheme="majorBidi" w:cstheme="majorBidi"/>
                <w:b/>
                <w:bCs/>
                <w:color w:val="000000" w:themeColor="text1"/>
                <w:sz w:val="22"/>
                <w:szCs w:val="22"/>
                <w:lang w:val="en-US"/>
              </w:rPr>
              <w:t>0.0082</w:t>
            </w:r>
            <w:r w:rsidRPr="00CF234F">
              <w:rPr>
                <w:rFonts w:asciiTheme="majorBidi" w:hAnsiTheme="majorBidi" w:cstheme="majorBidi"/>
                <w:color w:val="000000" w:themeColor="text1"/>
                <w:sz w:val="22"/>
                <w:szCs w:val="22"/>
                <w:lang w:val="en-US"/>
              </w:rPr>
              <w:t xml:space="preserve"> (0.0695)</w:t>
            </w:r>
          </w:p>
        </w:tc>
      </w:tr>
    </w:tbl>
    <w:p w:rsidR="00606AE4" w:rsidRPr="00CF234F" w:rsidRDefault="00606AE4" w:rsidP="00606AE4">
      <w:pPr>
        <w:shd w:val="clear" w:color="auto" w:fill="FFFFFF"/>
        <w:spacing w:before="60"/>
        <w:jc w:val="both"/>
        <w:rPr>
          <w:color w:val="000000" w:themeColor="text1"/>
          <w:sz w:val="20"/>
          <w:szCs w:val="20"/>
          <w:lang w:val="en-US"/>
        </w:rPr>
      </w:pPr>
      <w:r w:rsidRPr="00CF234F">
        <w:rPr>
          <w:color w:val="000000" w:themeColor="text1"/>
          <w:sz w:val="20"/>
          <w:szCs w:val="20"/>
          <w:lang w:val="en-US"/>
        </w:rPr>
        <w:t>Correlation analyses using Spearman rank (</w:t>
      </w:r>
      <w:r w:rsidRPr="00CF234F">
        <w:rPr>
          <w:rFonts w:asciiTheme="majorBidi" w:hAnsiTheme="majorBidi" w:cstheme="majorBidi"/>
          <w:sz w:val="20"/>
          <w:szCs w:val="20"/>
          <w:lang w:val="en-US"/>
        </w:rPr>
        <w:t>r</w:t>
      </w:r>
      <w:r w:rsidRPr="00CF234F">
        <w:rPr>
          <w:color w:val="000000" w:themeColor="text1"/>
          <w:sz w:val="20"/>
          <w:szCs w:val="20"/>
          <w:lang w:val="en-US"/>
        </w:rPr>
        <w:t xml:space="preserve">) between changes (ΔV1-SE) in OPG and sRANKL and changes in n-3, n-6 and n-9 fatty acids (FA) measured in red blood cell membranes (RBCM) and plasma during a three-month intervention phase. A post-hoc test was used to adjust for multiple testing according to Benjamini and Hochberg with Q at 5% (threshold: p&lt;0.0031) based on p-values in supplementary table 1 and IG/CG subgroup analysis, resulting in q-values, as shown in brackets. OPG, osteoprotegerin; PUFA, polyunsaturated fatty acids; sRANKL, soluble receptor of nuclear factor κB ligand; V1, three months after SE. </w:t>
      </w:r>
    </w:p>
    <w:p w:rsidR="00606AE4" w:rsidRPr="00CF234F" w:rsidRDefault="00606AE4" w:rsidP="00606AE4">
      <w:pPr>
        <w:shd w:val="clear" w:color="auto" w:fill="FFFFFF"/>
        <w:ind w:left="284"/>
        <w:jc w:val="both"/>
        <w:rPr>
          <w:color w:val="000000" w:themeColor="text1"/>
          <w:sz w:val="20"/>
          <w:szCs w:val="20"/>
          <w:lang w:val="en-US"/>
        </w:rPr>
      </w:pPr>
      <w:r w:rsidRPr="00CF234F">
        <w:rPr>
          <w:color w:val="000000" w:themeColor="text1"/>
          <w:sz w:val="20"/>
          <w:szCs w:val="20"/>
          <w:vertAlign w:val="superscript"/>
          <w:lang w:val="en-US"/>
        </w:rPr>
        <w:t>a</w:t>
      </w:r>
      <w:r w:rsidRPr="00CF234F">
        <w:rPr>
          <w:color w:val="000000" w:themeColor="text1"/>
          <w:sz w:val="20"/>
          <w:szCs w:val="20"/>
          <w:lang w:val="en-US"/>
        </w:rPr>
        <w:t xml:space="preserve"> Sum of eicosatrienoic acid (ETA, 20:3 n-3), eicosapentaenoic acid (EPA, 20:5 n-3), docosapentaenoic acid (DPA, 22:5 n-3) and docosahexaenoic acid (DHA, 22:6 n-3).</w:t>
      </w:r>
    </w:p>
    <w:p w:rsidR="00606AE4" w:rsidRPr="00CF234F" w:rsidRDefault="00606AE4" w:rsidP="00606AE4">
      <w:pPr>
        <w:shd w:val="clear" w:color="auto" w:fill="FFFFFF"/>
        <w:ind w:left="284"/>
        <w:jc w:val="both"/>
        <w:rPr>
          <w:color w:val="000000" w:themeColor="text1"/>
          <w:sz w:val="20"/>
          <w:szCs w:val="20"/>
          <w:lang w:val="en-US"/>
        </w:rPr>
      </w:pPr>
      <w:r w:rsidRPr="00CF234F">
        <w:rPr>
          <w:color w:val="000000" w:themeColor="text1"/>
          <w:sz w:val="20"/>
          <w:szCs w:val="20"/>
          <w:vertAlign w:val="superscript"/>
          <w:lang w:val="en-US"/>
        </w:rPr>
        <w:t>b</w:t>
      </w:r>
      <w:r w:rsidRPr="00CF234F">
        <w:rPr>
          <w:color w:val="000000" w:themeColor="text1"/>
          <w:sz w:val="20"/>
          <w:szCs w:val="20"/>
          <w:lang w:val="en-US"/>
        </w:rPr>
        <w:t xml:space="preserve"> Sum of linoleic acid (CLA, 18:2 n-6) and arachidonic acid (ARA, 20:4 n-6).</w:t>
      </w:r>
    </w:p>
    <w:p w:rsidR="00606AE4" w:rsidRPr="00CF234F" w:rsidRDefault="00606AE4" w:rsidP="00606AE4">
      <w:pPr>
        <w:shd w:val="clear" w:color="auto" w:fill="FFFFFF"/>
        <w:ind w:left="284"/>
        <w:jc w:val="both"/>
        <w:rPr>
          <w:color w:val="000000" w:themeColor="text1"/>
          <w:sz w:val="20"/>
          <w:szCs w:val="20"/>
          <w:lang w:val="en-US"/>
        </w:rPr>
      </w:pPr>
      <w:r w:rsidRPr="00CF234F">
        <w:rPr>
          <w:color w:val="000000" w:themeColor="text1"/>
          <w:sz w:val="20"/>
          <w:szCs w:val="20"/>
          <w:vertAlign w:val="superscript"/>
          <w:lang w:val="en-US"/>
        </w:rPr>
        <w:t>c</w:t>
      </w:r>
      <w:r w:rsidRPr="00CF234F">
        <w:rPr>
          <w:color w:val="000000" w:themeColor="text1"/>
          <w:sz w:val="20"/>
          <w:szCs w:val="20"/>
          <w:lang w:val="en-US"/>
        </w:rPr>
        <w:t xml:space="preserve"> Sum of oleic acid (18:1 n-9), gondoic acid (20:1 n-9) and nervonic acid (24:1 n-9)</w:t>
      </w:r>
    </w:p>
    <w:p w:rsidR="00606AE4" w:rsidRPr="00CF234F" w:rsidRDefault="00606AE4" w:rsidP="00606AE4">
      <w:pPr>
        <w:shd w:val="clear" w:color="auto" w:fill="FFFFFF"/>
        <w:ind w:left="284"/>
        <w:jc w:val="both"/>
        <w:rPr>
          <w:color w:val="000000" w:themeColor="text1"/>
          <w:sz w:val="20"/>
          <w:szCs w:val="20"/>
          <w:lang w:val="en-US"/>
        </w:rPr>
      </w:pPr>
      <w:r w:rsidRPr="00CF234F">
        <w:rPr>
          <w:color w:val="000000" w:themeColor="text1"/>
          <w:sz w:val="20"/>
          <w:szCs w:val="20"/>
          <w:vertAlign w:val="superscript"/>
          <w:lang w:val="en-US"/>
        </w:rPr>
        <w:t>d</w:t>
      </w:r>
      <w:r w:rsidRPr="00CF234F">
        <w:rPr>
          <w:color w:val="000000" w:themeColor="text1"/>
          <w:sz w:val="20"/>
          <w:szCs w:val="20"/>
          <w:lang w:val="en-US"/>
        </w:rPr>
        <w:t xml:space="preserve"> Sum of alpha-linolenic acid (18:3 n-3), EPA, DPA and DHA.  </w:t>
      </w:r>
    </w:p>
    <w:p w:rsidR="00606AE4" w:rsidRPr="00CF234F" w:rsidRDefault="00606AE4" w:rsidP="00606AE4">
      <w:pPr>
        <w:shd w:val="clear" w:color="auto" w:fill="FFFFFF"/>
        <w:ind w:left="284"/>
        <w:jc w:val="both"/>
        <w:rPr>
          <w:color w:val="000000" w:themeColor="text1"/>
          <w:sz w:val="20"/>
          <w:szCs w:val="20"/>
          <w:lang w:val="en-US"/>
        </w:rPr>
      </w:pPr>
      <w:r w:rsidRPr="00CF234F">
        <w:rPr>
          <w:color w:val="000000" w:themeColor="text1"/>
          <w:sz w:val="20"/>
          <w:szCs w:val="20"/>
          <w:vertAlign w:val="superscript"/>
          <w:lang w:val="en-US"/>
        </w:rPr>
        <w:t>e</w:t>
      </w:r>
      <w:r w:rsidRPr="00CF234F">
        <w:rPr>
          <w:color w:val="000000" w:themeColor="text1"/>
          <w:sz w:val="20"/>
          <w:szCs w:val="20"/>
          <w:lang w:val="en-US"/>
        </w:rPr>
        <w:t xml:space="preserve"> Sum of CLA, gamma linoleic acid (18:3 n-6), eicosadienoic acid (20:2 n-6), dihomo-gamma-linolenic acid (20:3 n-6), ARA</w:t>
      </w:r>
    </w:p>
    <w:p w:rsidR="00606AE4" w:rsidRPr="00AC6BE2" w:rsidRDefault="00606AE4" w:rsidP="00606AE4">
      <w:pPr>
        <w:shd w:val="clear" w:color="auto" w:fill="FFFFFF"/>
        <w:ind w:left="284"/>
        <w:jc w:val="both"/>
        <w:rPr>
          <w:color w:val="000000" w:themeColor="text1"/>
          <w:sz w:val="20"/>
          <w:szCs w:val="20"/>
          <w:lang w:val="pt-BR"/>
        </w:rPr>
      </w:pPr>
      <w:r w:rsidRPr="00AC6BE2">
        <w:rPr>
          <w:color w:val="000000" w:themeColor="text1"/>
          <w:sz w:val="20"/>
          <w:szCs w:val="20"/>
          <w:vertAlign w:val="superscript"/>
          <w:lang w:val="pt-BR"/>
        </w:rPr>
        <w:t>f</w:t>
      </w:r>
      <w:r w:rsidRPr="00AC6BE2">
        <w:rPr>
          <w:color w:val="000000" w:themeColor="text1"/>
          <w:sz w:val="20"/>
          <w:szCs w:val="20"/>
          <w:lang w:val="pt-BR"/>
        </w:rPr>
        <w:t xml:space="preserve"> Sum of erucic acid (22:1 n-9), eicosadienoic acid (20:2 n-9), mead acid (20:3 n-9)</w:t>
      </w:r>
    </w:p>
    <w:p w:rsidR="00920913" w:rsidRDefault="00920913"/>
    <w:sectPr w:rsidR="00920913" w:rsidSect="00FE701E">
      <w:footerReference w:type="even" r:id="rId4"/>
      <w:footerReference w:type="default" r:id="rId5"/>
      <w:footnotePr>
        <w:numRestart w:val="eachPage"/>
      </w:footnotePr>
      <w:pgSz w:w="12240" w:h="15840"/>
      <w:pgMar w:top="1440" w:right="1080" w:bottom="1440" w:left="1080" w:header="720" w:footer="720" w:gutter="0"/>
      <w:pgNumType w:start="1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">
    <w:altName w:val="Times New Roman"/>
    <w:charset w:val="00"/>
    <w:family w:val="roman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PageNumber"/>
      </w:rPr>
      <w:id w:val="1567141043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:rsidR="001D6BDA" w:rsidRDefault="00FE701E" w:rsidP="004154B5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:rsidR="001D6BDA" w:rsidRDefault="00FE701E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PageNumber"/>
      </w:rPr>
      <w:id w:val="103466091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:rsidR="001D6BDA" w:rsidRDefault="00FE701E" w:rsidP="004154B5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28</w:t>
        </w:r>
        <w:r>
          <w:rPr>
            <w:rStyle w:val="PageNumber"/>
          </w:rPr>
          <w:fldChar w:fldCharType="end"/>
        </w:r>
      </w:p>
    </w:sdtContent>
  </w:sdt>
  <w:p w:rsidR="001D6BDA" w:rsidRDefault="00FE701E">
    <w:pPr>
      <w:pStyle w:val="Footer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60"/>
  <w:defaultTabStop w:val="720"/>
  <w:characterSpacingControl w:val="doNotCompress"/>
  <w:footnotePr>
    <w:numRestart w:val="eachPage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2869"/>
    <w:rsid w:val="00004436"/>
    <w:rsid w:val="00006903"/>
    <w:rsid w:val="00034472"/>
    <w:rsid w:val="00040B11"/>
    <w:rsid w:val="00041CAB"/>
    <w:rsid w:val="00043A43"/>
    <w:rsid w:val="00053348"/>
    <w:rsid w:val="00062642"/>
    <w:rsid w:val="0007417C"/>
    <w:rsid w:val="0007577E"/>
    <w:rsid w:val="00076780"/>
    <w:rsid w:val="000838A9"/>
    <w:rsid w:val="00096C50"/>
    <w:rsid w:val="000B4F86"/>
    <w:rsid w:val="000C457B"/>
    <w:rsid w:val="000C7551"/>
    <w:rsid w:val="000D6F93"/>
    <w:rsid w:val="000E6107"/>
    <w:rsid w:val="000F67E5"/>
    <w:rsid w:val="001027F7"/>
    <w:rsid w:val="00104355"/>
    <w:rsid w:val="00120D50"/>
    <w:rsid w:val="001251D9"/>
    <w:rsid w:val="001351A5"/>
    <w:rsid w:val="001442C2"/>
    <w:rsid w:val="00151AC0"/>
    <w:rsid w:val="00156294"/>
    <w:rsid w:val="00167CE9"/>
    <w:rsid w:val="00175611"/>
    <w:rsid w:val="00176EA3"/>
    <w:rsid w:val="001851D4"/>
    <w:rsid w:val="00187936"/>
    <w:rsid w:val="00187A3F"/>
    <w:rsid w:val="00192B5B"/>
    <w:rsid w:val="00192D6B"/>
    <w:rsid w:val="001A0E47"/>
    <w:rsid w:val="001A4BB7"/>
    <w:rsid w:val="001B0B96"/>
    <w:rsid w:val="001B72A4"/>
    <w:rsid w:val="001D6A96"/>
    <w:rsid w:val="001E4B5F"/>
    <w:rsid w:val="001E5679"/>
    <w:rsid w:val="001F235B"/>
    <w:rsid w:val="001F4240"/>
    <w:rsid w:val="001F5B85"/>
    <w:rsid w:val="001F6C0F"/>
    <w:rsid w:val="002205C3"/>
    <w:rsid w:val="00221364"/>
    <w:rsid w:val="00245298"/>
    <w:rsid w:val="002B7C70"/>
    <w:rsid w:val="002C5EE5"/>
    <w:rsid w:val="002D1332"/>
    <w:rsid w:val="002D5BD6"/>
    <w:rsid w:val="002D7125"/>
    <w:rsid w:val="002F1AB5"/>
    <w:rsid w:val="003019AF"/>
    <w:rsid w:val="00302F7D"/>
    <w:rsid w:val="00346ECD"/>
    <w:rsid w:val="00394DB5"/>
    <w:rsid w:val="003A6AB4"/>
    <w:rsid w:val="003F2E7A"/>
    <w:rsid w:val="003F445F"/>
    <w:rsid w:val="003F4840"/>
    <w:rsid w:val="003F57B0"/>
    <w:rsid w:val="00400AA8"/>
    <w:rsid w:val="004013E6"/>
    <w:rsid w:val="00404406"/>
    <w:rsid w:val="00422107"/>
    <w:rsid w:val="00423D81"/>
    <w:rsid w:val="004253B5"/>
    <w:rsid w:val="00434461"/>
    <w:rsid w:val="004367A1"/>
    <w:rsid w:val="004422B6"/>
    <w:rsid w:val="00447C4B"/>
    <w:rsid w:val="004544FE"/>
    <w:rsid w:val="00462DDE"/>
    <w:rsid w:val="004657A0"/>
    <w:rsid w:val="00471A2D"/>
    <w:rsid w:val="00475253"/>
    <w:rsid w:val="00490457"/>
    <w:rsid w:val="004916F4"/>
    <w:rsid w:val="00491ECC"/>
    <w:rsid w:val="00496423"/>
    <w:rsid w:val="004A05EA"/>
    <w:rsid w:val="004A57A5"/>
    <w:rsid w:val="004B2C12"/>
    <w:rsid w:val="004B63D4"/>
    <w:rsid w:val="004B7C30"/>
    <w:rsid w:val="004C1D1A"/>
    <w:rsid w:val="004C335C"/>
    <w:rsid w:val="004C3B7E"/>
    <w:rsid w:val="004C6D03"/>
    <w:rsid w:val="004D27F3"/>
    <w:rsid w:val="004D3F76"/>
    <w:rsid w:val="004E0EED"/>
    <w:rsid w:val="004E3467"/>
    <w:rsid w:val="004E37F0"/>
    <w:rsid w:val="004E66A4"/>
    <w:rsid w:val="004F0A35"/>
    <w:rsid w:val="004F5A3C"/>
    <w:rsid w:val="00526174"/>
    <w:rsid w:val="00530AA5"/>
    <w:rsid w:val="005332E8"/>
    <w:rsid w:val="00536EBF"/>
    <w:rsid w:val="00544AB6"/>
    <w:rsid w:val="0055412F"/>
    <w:rsid w:val="00557328"/>
    <w:rsid w:val="00565801"/>
    <w:rsid w:val="005709EF"/>
    <w:rsid w:val="00570B3E"/>
    <w:rsid w:val="0057323F"/>
    <w:rsid w:val="005845B5"/>
    <w:rsid w:val="0058627F"/>
    <w:rsid w:val="005A5FCA"/>
    <w:rsid w:val="005B1155"/>
    <w:rsid w:val="005B2E5F"/>
    <w:rsid w:val="005C183C"/>
    <w:rsid w:val="005C4BB8"/>
    <w:rsid w:val="005C5BAC"/>
    <w:rsid w:val="005C69AF"/>
    <w:rsid w:val="005D0C68"/>
    <w:rsid w:val="005D767D"/>
    <w:rsid w:val="005E17E6"/>
    <w:rsid w:val="005E3D76"/>
    <w:rsid w:val="005E5930"/>
    <w:rsid w:val="005F14A5"/>
    <w:rsid w:val="005F3A33"/>
    <w:rsid w:val="00602B1D"/>
    <w:rsid w:val="00606AE4"/>
    <w:rsid w:val="00634D32"/>
    <w:rsid w:val="00647056"/>
    <w:rsid w:val="006511D5"/>
    <w:rsid w:val="00684071"/>
    <w:rsid w:val="00686853"/>
    <w:rsid w:val="00696E0D"/>
    <w:rsid w:val="006A0893"/>
    <w:rsid w:val="006A2DD5"/>
    <w:rsid w:val="006B1EEB"/>
    <w:rsid w:val="006C1D7F"/>
    <w:rsid w:val="006D47F5"/>
    <w:rsid w:val="006E0655"/>
    <w:rsid w:val="006F3F67"/>
    <w:rsid w:val="006F4BEF"/>
    <w:rsid w:val="007039A9"/>
    <w:rsid w:val="00713A55"/>
    <w:rsid w:val="0072537D"/>
    <w:rsid w:val="00744F33"/>
    <w:rsid w:val="00745D87"/>
    <w:rsid w:val="007461BA"/>
    <w:rsid w:val="007472C4"/>
    <w:rsid w:val="00753F46"/>
    <w:rsid w:val="0078783F"/>
    <w:rsid w:val="00793078"/>
    <w:rsid w:val="00797D08"/>
    <w:rsid w:val="007A60E8"/>
    <w:rsid w:val="007B39A1"/>
    <w:rsid w:val="007C1001"/>
    <w:rsid w:val="007D4566"/>
    <w:rsid w:val="007D6903"/>
    <w:rsid w:val="007E122C"/>
    <w:rsid w:val="007E36DC"/>
    <w:rsid w:val="007E4EFE"/>
    <w:rsid w:val="007F1F92"/>
    <w:rsid w:val="007F33EF"/>
    <w:rsid w:val="0083157D"/>
    <w:rsid w:val="0083342F"/>
    <w:rsid w:val="00837F96"/>
    <w:rsid w:val="008629B2"/>
    <w:rsid w:val="008652FD"/>
    <w:rsid w:val="0087043F"/>
    <w:rsid w:val="00874071"/>
    <w:rsid w:val="00875430"/>
    <w:rsid w:val="008838EE"/>
    <w:rsid w:val="00892292"/>
    <w:rsid w:val="008B19B4"/>
    <w:rsid w:val="008C1AFB"/>
    <w:rsid w:val="008D63AF"/>
    <w:rsid w:val="008D7A20"/>
    <w:rsid w:val="008F3277"/>
    <w:rsid w:val="008F332A"/>
    <w:rsid w:val="008F640C"/>
    <w:rsid w:val="0090166E"/>
    <w:rsid w:val="00912A9C"/>
    <w:rsid w:val="00920913"/>
    <w:rsid w:val="009344CF"/>
    <w:rsid w:val="009509E0"/>
    <w:rsid w:val="00960710"/>
    <w:rsid w:val="00973946"/>
    <w:rsid w:val="00973D7F"/>
    <w:rsid w:val="00981172"/>
    <w:rsid w:val="009840F9"/>
    <w:rsid w:val="00993601"/>
    <w:rsid w:val="009A42B6"/>
    <w:rsid w:val="009B241A"/>
    <w:rsid w:val="009B24CB"/>
    <w:rsid w:val="009B4A99"/>
    <w:rsid w:val="009B4D00"/>
    <w:rsid w:val="009D5CE8"/>
    <w:rsid w:val="009E12BD"/>
    <w:rsid w:val="009E5ABF"/>
    <w:rsid w:val="009F6FD5"/>
    <w:rsid w:val="00A13EC3"/>
    <w:rsid w:val="00A30B28"/>
    <w:rsid w:val="00A55148"/>
    <w:rsid w:val="00A66B57"/>
    <w:rsid w:val="00A71636"/>
    <w:rsid w:val="00A71A2B"/>
    <w:rsid w:val="00A726FD"/>
    <w:rsid w:val="00A73FB6"/>
    <w:rsid w:val="00A80189"/>
    <w:rsid w:val="00A803DB"/>
    <w:rsid w:val="00A81F61"/>
    <w:rsid w:val="00AD785E"/>
    <w:rsid w:val="00AE0EAD"/>
    <w:rsid w:val="00AE2123"/>
    <w:rsid w:val="00AE55B0"/>
    <w:rsid w:val="00AE5931"/>
    <w:rsid w:val="00AF32EA"/>
    <w:rsid w:val="00AF3AD9"/>
    <w:rsid w:val="00AF4C79"/>
    <w:rsid w:val="00B00055"/>
    <w:rsid w:val="00B0118A"/>
    <w:rsid w:val="00B02A31"/>
    <w:rsid w:val="00B04B26"/>
    <w:rsid w:val="00B1511F"/>
    <w:rsid w:val="00B20969"/>
    <w:rsid w:val="00B23E21"/>
    <w:rsid w:val="00B361AF"/>
    <w:rsid w:val="00B41073"/>
    <w:rsid w:val="00B52AF6"/>
    <w:rsid w:val="00B54F44"/>
    <w:rsid w:val="00B64311"/>
    <w:rsid w:val="00B65537"/>
    <w:rsid w:val="00B71ED7"/>
    <w:rsid w:val="00B75F45"/>
    <w:rsid w:val="00B91D8B"/>
    <w:rsid w:val="00BA25FD"/>
    <w:rsid w:val="00BA52D1"/>
    <w:rsid w:val="00BB1D74"/>
    <w:rsid w:val="00BB29B9"/>
    <w:rsid w:val="00BB2F47"/>
    <w:rsid w:val="00BB3637"/>
    <w:rsid w:val="00BC3396"/>
    <w:rsid w:val="00BC7242"/>
    <w:rsid w:val="00BD1D17"/>
    <w:rsid w:val="00BE2ADD"/>
    <w:rsid w:val="00BE5046"/>
    <w:rsid w:val="00BE6A98"/>
    <w:rsid w:val="00BF0DF1"/>
    <w:rsid w:val="00BF15A1"/>
    <w:rsid w:val="00BF36FA"/>
    <w:rsid w:val="00C26C19"/>
    <w:rsid w:val="00C30F95"/>
    <w:rsid w:val="00C44B86"/>
    <w:rsid w:val="00C50099"/>
    <w:rsid w:val="00C627CA"/>
    <w:rsid w:val="00C6328B"/>
    <w:rsid w:val="00C711B5"/>
    <w:rsid w:val="00C7179A"/>
    <w:rsid w:val="00C765A9"/>
    <w:rsid w:val="00C82C7E"/>
    <w:rsid w:val="00C903A9"/>
    <w:rsid w:val="00C96D8C"/>
    <w:rsid w:val="00C974A0"/>
    <w:rsid w:val="00CA1EA0"/>
    <w:rsid w:val="00CA2067"/>
    <w:rsid w:val="00CA4CD2"/>
    <w:rsid w:val="00CB19FF"/>
    <w:rsid w:val="00CC0DCE"/>
    <w:rsid w:val="00CC430D"/>
    <w:rsid w:val="00CD285C"/>
    <w:rsid w:val="00CE2437"/>
    <w:rsid w:val="00D02869"/>
    <w:rsid w:val="00D05F5D"/>
    <w:rsid w:val="00D2099A"/>
    <w:rsid w:val="00D40271"/>
    <w:rsid w:val="00D478F9"/>
    <w:rsid w:val="00D5075C"/>
    <w:rsid w:val="00D56893"/>
    <w:rsid w:val="00D67ED4"/>
    <w:rsid w:val="00D70C14"/>
    <w:rsid w:val="00D730DA"/>
    <w:rsid w:val="00D8083D"/>
    <w:rsid w:val="00D975CD"/>
    <w:rsid w:val="00DB3E14"/>
    <w:rsid w:val="00DD0D40"/>
    <w:rsid w:val="00DE3A2F"/>
    <w:rsid w:val="00DF0936"/>
    <w:rsid w:val="00DF12F8"/>
    <w:rsid w:val="00DF4874"/>
    <w:rsid w:val="00E33465"/>
    <w:rsid w:val="00E3373F"/>
    <w:rsid w:val="00E444F0"/>
    <w:rsid w:val="00E4545A"/>
    <w:rsid w:val="00E7008D"/>
    <w:rsid w:val="00E730AB"/>
    <w:rsid w:val="00E761D4"/>
    <w:rsid w:val="00E81CA6"/>
    <w:rsid w:val="00ED093F"/>
    <w:rsid w:val="00ED41DA"/>
    <w:rsid w:val="00ED58FA"/>
    <w:rsid w:val="00EE27D0"/>
    <w:rsid w:val="00EF2092"/>
    <w:rsid w:val="00EF72FE"/>
    <w:rsid w:val="00F1300A"/>
    <w:rsid w:val="00F31254"/>
    <w:rsid w:val="00F354B2"/>
    <w:rsid w:val="00F35ACE"/>
    <w:rsid w:val="00F73104"/>
    <w:rsid w:val="00F974DD"/>
    <w:rsid w:val="00FA3196"/>
    <w:rsid w:val="00FA6BAC"/>
    <w:rsid w:val="00FC0F8C"/>
    <w:rsid w:val="00FC31BF"/>
    <w:rsid w:val="00FE701E"/>
    <w:rsid w:val="00FF1F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F0F619B-6866-454A-831B-393743D73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EinfacheTabelle21">
    <w:name w:val="Einfache Tabelle 21"/>
    <w:basedOn w:val="TableNormal"/>
    <w:uiPriority w:val="42"/>
    <w:rsid w:val="00606AE4"/>
    <w:pPr>
      <w:spacing w:after="0" w:line="240" w:lineRule="auto"/>
    </w:pPr>
    <w:rPr>
      <w:rFonts w:eastAsiaTheme="minorEastAsia"/>
      <w:sz w:val="24"/>
      <w:szCs w:val="24"/>
      <w:lang w:val="de-DE" w:eastAsia="zh-CN"/>
    </w:r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Footer">
    <w:name w:val="footer"/>
    <w:basedOn w:val="Normal"/>
    <w:link w:val="FooterChar"/>
    <w:uiPriority w:val="99"/>
    <w:unhideWhenUsed/>
    <w:rsid w:val="00606AE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zh-CN"/>
    </w:rPr>
  </w:style>
  <w:style w:type="character" w:customStyle="1" w:styleId="FooterChar">
    <w:name w:val="Footer Char"/>
    <w:basedOn w:val="DefaultParagraphFont"/>
    <w:link w:val="Footer"/>
    <w:uiPriority w:val="99"/>
    <w:rsid w:val="00606AE4"/>
    <w:rPr>
      <w:rFonts w:ascii="Times New Roman" w:eastAsia="Times New Roman" w:hAnsi="Times New Roman" w:cs="Times New Roman"/>
      <w:sz w:val="24"/>
      <w:szCs w:val="24"/>
      <w:lang w:val="de-DE" w:eastAsia="zh-CN"/>
    </w:rPr>
  </w:style>
  <w:style w:type="character" w:styleId="PageNumber">
    <w:name w:val="page number"/>
    <w:basedOn w:val="DefaultParagraphFont"/>
    <w:uiPriority w:val="99"/>
    <w:semiHidden/>
    <w:unhideWhenUsed/>
    <w:rsid w:val="00606A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2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444</Words>
  <Characters>2537</Characters>
  <Application>Microsoft Office Word</Application>
  <DocSecurity>0</DocSecurity>
  <Lines>21</Lines>
  <Paragraphs>5</Paragraphs>
  <ScaleCrop>false</ScaleCrop>
  <Company/>
  <LinksUpToDate>false</LinksUpToDate>
  <CharactersWithSpaces>2976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Mohana Priya T.</dc:creator>
  <cp:keywords/>
  <dc:description/>
  <cp:lastModifiedBy>Mohana Priya T.</cp:lastModifiedBy>
  <cp:revision>3</cp:revision>
  <dcterms:created xsi:type="dcterms:W3CDTF">2021-09-21T10:13:00Z</dcterms:created>
  <dcterms:modified xsi:type="dcterms:W3CDTF">2021-09-21T10:14:00Z</dcterms:modified>
</cp:coreProperties>
</file>