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1C60" w:rsidRDefault="00E31C60" w:rsidP="00D003AC">
      <w:pPr>
        <w:suppressLineNumbers/>
        <w:tabs>
          <w:tab w:val="left" w:pos="2340"/>
        </w:tabs>
        <w:rPr>
          <w:rFonts w:ascii="Times New Roman" w:hAnsi="Times New Roman" w:cs="Times New Roman"/>
          <w:b/>
          <w:sz w:val="28"/>
          <w:szCs w:val="28"/>
        </w:rPr>
      </w:pPr>
      <w:r>
        <w:rPr>
          <w:rFonts w:ascii="Times New Roman" w:hAnsi="Times New Roman" w:cs="Times New Roman"/>
          <w:b/>
          <w:sz w:val="28"/>
          <w:szCs w:val="28"/>
        </w:rPr>
        <w:t>Supplementary Information</w:t>
      </w:r>
    </w:p>
    <w:p w:rsidR="00E31C60" w:rsidRDefault="00E31C60" w:rsidP="00D003AC">
      <w:pPr>
        <w:suppressLineNumbers/>
        <w:tabs>
          <w:tab w:val="left" w:pos="2340"/>
        </w:tabs>
        <w:spacing w:line="480" w:lineRule="auto"/>
        <w:rPr>
          <w:rFonts w:ascii="Times New Roman" w:hAnsi="Times New Roman" w:cs="Times New Roman"/>
          <w:b/>
          <w:sz w:val="28"/>
          <w:szCs w:val="28"/>
        </w:rPr>
      </w:pPr>
    </w:p>
    <w:p w:rsidR="00E31C60" w:rsidRPr="00601FF0" w:rsidRDefault="00E31C60" w:rsidP="00E31C60">
      <w:pPr>
        <w:suppressLineNumbers/>
        <w:spacing w:line="480" w:lineRule="auto"/>
        <w:jc w:val="center"/>
        <w:outlineLvl w:val="0"/>
        <w:rPr>
          <w:rFonts w:ascii="Times New Roman" w:hAnsi="Times New Roman"/>
          <w:b/>
          <w:sz w:val="24"/>
          <w:szCs w:val="24"/>
        </w:rPr>
      </w:pPr>
      <w:r w:rsidRPr="004703BF">
        <w:rPr>
          <w:rFonts w:ascii="Times New Roman" w:hAnsi="Times New Roman"/>
          <w:b/>
          <w:sz w:val="24"/>
          <w:szCs w:val="24"/>
        </w:rPr>
        <w:t>Dynamic changes in O-GlcNAcylation regulate osteoclas</w:t>
      </w:r>
      <w:r>
        <w:rPr>
          <w:rFonts w:ascii="Times New Roman" w:hAnsi="Times New Roman"/>
          <w:b/>
          <w:sz w:val="24"/>
          <w:szCs w:val="24"/>
        </w:rPr>
        <w:t>t differentiation and bone loss via nucleoporin 153</w:t>
      </w:r>
    </w:p>
    <w:p w:rsidR="00E31C60" w:rsidRPr="00E31C60" w:rsidRDefault="00E31C60" w:rsidP="00E31C60">
      <w:pPr>
        <w:spacing w:line="480" w:lineRule="auto"/>
        <w:rPr>
          <w:rFonts w:ascii="Times New Roman" w:hAnsi="Times New Roman"/>
          <w:sz w:val="24"/>
          <w:szCs w:val="24"/>
        </w:rPr>
      </w:pPr>
      <w:r w:rsidRPr="004703BF">
        <w:rPr>
          <w:rFonts w:ascii="Times New Roman" w:hAnsi="Times New Roman"/>
          <w:b/>
          <w:sz w:val="24"/>
          <w:szCs w:val="24"/>
        </w:rPr>
        <w:t>Authors:</w:t>
      </w:r>
      <w:r>
        <w:rPr>
          <w:rFonts w:ascii="Times New Roman" w:hAnsi="Times New Roman"/>
          <w:sz w:val="24"/>
          <w:szCs w:val="24"/>
        </w:rPr>
        <w:t xml:space="preserve"> </w:t>
      </w:r>
      <w:r w:rsidR="00550CEF" w:rsidRPr="00601FF0">
        <w:rPr>
          <w:rFonts w:ascii="Times New Roman" w:hAnsi="Times New Roman"/>
          <w:sz w:val="24"/>
          <w:szCs w:val="24"/>
        </w:rPr>
        <w:t>Yi-Nan Li</w:t>
      </w:r>
      <w:r w:rsidR="00550CEF">
        <w:rPr>
          <w:rFonts w:ascii="Times New Roman" w:hAnsi="Times New Roman"/>
          <w:sz w:val="24"/>
          <w:szCs w:val="24"/>
        </w:rPr>
        <w:t>,</w:t>
      </w:r>
      <w:r w:rsidR="00550CEF" w:rsidRPr="00601FF0">
        <w:rPr>
          <w:rFonts w:ascii="Times New Roman" w:hAnsi="Times New Roman"/>
          <w:sz w:val="24"/>
          <w:szCs w:val="24"/>
        </w:rPr>
        <w:t xml:space="preserve"> </w:t>
      </w:r>
      <w:r w:rsidR="00550CEF">
        <w:rPr>
          <w:rFonts w:ascii="Times New Roman" w:hAnsi="Times New Roman"/>
          <w:sz w:val="24"/>
          <w:szCs w:val="24"/>
        </w:rPr>
        <w:t xml:space="preserve">Chih-Wei Chen, </w:t>
      </w:r>
      <w:r w:rsidRPr="00601FF0">
        <w:rPr>
          <w:rFonts w:ascii="Times New Roman" w:hAnsi="Times New Roman"/>
          <w:sz w:val="24"/>
          <w:szCs w:val="24"/>
        </w:rPr>
        <w:t xml:space="preserve">Thuong Trinh-Minh, </w:t>
      </w:r>
      <w:r>
        <w:rPr>
          <w:rFonts w:ascii="Times New Roman" w:hAnsi="Times New Roman"/>
          <w:sz w:val="24"/>
          <w:szCs w:val="24"/>
        </w:rPr>
        <w:t xml:space="preserve">Honglin Zhu, Alexandru-Emil Matei, </w:t>
      </w:r>
      <w:r w:rsidRPr="00F6061F">
        <w:rPr>
          <w:rFonts w:ascii="Times New Roman" w:hAnsi="Times New Roman"/>
          <w:sz w:val="24"/>
          <w:szCs w:val="24"/>
        </w:rPr>
        <w:t>Andrea-Hermina</w:t>
      </w:r>
      <w:r>
        <w:rPr>
          <w:rFonts w:ascii="Times New Roman" w:hAnsi="Times New Roman"/>
          <w:sz w:val="24"/>
          <w:szCs w:val="24"/>
        </w:rPr>
        <w:t xml:space="preserve"> Györfi, </w:t>
      </w:r>
      <w:r w:rsidRPr="004E6B3E">
        <w:rPr>
          <w:rFonts w:ascii="Times New Roman" w:hAnsi="Times New Roman"/>
          <w:sz w:val="24"/>
          <w:szCs w:val="24"/>
        </w:rPr>
        <w:t>Frederic Kuwert</w:t>
      </w:r>
      <w:r>
        <w:rPr>
          <w:rFonts w:ascii="Times New Roman" w:hAnsi="Times New Roman"/>
          <w:sz w:val="24"/>
          <w:szCs w:val="24"/>
        </w:rPr>
        <w:t xml:space="preserve">, Philipp Hubel, Xiao Ding, </w:t>
      </w:r>
      <w:r w:rsidRPr="004D5DBE">
        <w:rPr>
          <w:rFonts w:ascii="Times New Roman" w:hAnsi="Times New Roman"/>
          <w:sz w:val="24"/>
          <w:szCs w:val="24"/>
        </w:rPr>
        <w:t>Cuong Tran Manh</w:t>
      </w:r>
      <w:r w:rsidRPr="00601FF0">
        <w:rPr>
          <w:rFonts w:ascii="Times New Roman" w:hAnsi="Times New Roman"/>
          <w:sz w:val="24"/>
          <w:szCs w:val="24"/>
        </w:rPr>
        <w:t>,</w:t>
      </w:r>
      <w:r>
        <w:rPr>
          <w:rFonts w:ascii="Times New Roman" w:hAnsi="Times New Roman"/>
          <w:sz w:val="24"/>
          <w:szCs w:val="24"/>
        </w:rPr>
        <w:t xml:space="preserve"> </w:t>
      </w:r>
      <w:r w:rsidRPr="004D5DBE">
        <w:rPr>
          <w:rFonts w:ascii="Times New Roman" w:hAnsi="Times New Roman"/>
          <w:sz w:val="24"/>
          <w:szCs w:val="24"/>
        </w:rPr>
        <w:t>Xiao</w:t>
      </w:r>
      <w:r>
        <w:rPr>
          <w:rFonts w:ascii="Times New Roman" w:hAnsi="Times New Roman"/>
          <w:sz w:val="24"/>
          <w:szCs w:val="24"/>
        </w:rPr>
        <w:t>h</w:t>
      </w:r>
      <w:r w:rsidRPr="004D5DBE">
        <w:rPr>
          <w:rFonts w:ascii="Times New Roman" w:hAnsi="Times New Roman"/>
          <w:sz w:val="24"/>
          <w:szCs w:val="24"/>
        </w:rPr>
        <w:t>an</w:t>
      </w:r>
      <w:r>
        <w:rPr>
          <w:rFonts w:ascii="Times New Roman" w:hAnsi="Times New Roman"/>
          <w:sz w:val="24"/>
          <w:szCs w:val="24"/>
        </w:rPr>
        <w:t xml:space="preserve"> Xu, Christoph Liebel</w:t>
      </w:r>
      <w:r w:rsidRPr="00F7699D">
        <w:rPr>
          <w:rFonts w:ascii="Times New Roman" w:hAnsi="Times New Roman"/>
          <w:sz w:val="24"/>
          <w:szCs w:val="24"/>
        </w:rPr>
        <w:t>,</w:t>
      </w:r>
      <w:r>
        <w:rPr>
          <w:rFonts w:ascii="Times New Roman" w:hAnsi="Times New Roman"/>
          <w:sz w:val="24"/>
          <w:szCs w:val="24"/>
        </w:rPr>
        <w:t xml:space="preserve"> </w:t>
      </w:r>
      <w:r w:rsidRPr="00181341">
        <w:rPr>
          <w:rFonts w:ascii="Times New Roman" w:hAnsi="Times New Roman"/>
          <w:sz w:val="24"/>
          <w:szCs w:val="24"/>
        </w:rPr>
        <w:t xml:space="preserve">Vladyslav </w:t>
      </w:r>
      <w:r>
        <w:rPr>
          <w:rFonts w:ascii="Times New Roman" w:hAnsi="Times New Roman"/>
          <w:sz w:val="24"/>
          <w:szCs w:val="24"/>
        </w:rPr>
        <w:t>Fedorchenko,</w:t>
      </w:r>
      <w:r w:rsidRPr="00181341">
        <w:rPr>
          <w:rFonts w:ascii="Times New Roman" w:hAnsi="Times New Roman"/>
          <w:sz w:val="24"/>
          <w:szCs w:val="24"/>
        </w:rPr>
        <w:t xml:space="preserve"> </w:t>
      </w:r>
      <w:r w:rsidRPr="00F7699D">
        <w:rPr>
          <w:rFonts w:ascii="Times New Roman" w:hAnsi="Times New Roman"/>
          <w:sz w:val="24"/>
          <w:szCs w:val="24"/>
        </w:rPr>
        <w:t>Rui</w:t>
      </w:r>
      <w:r>
        <w:rPr>
          <w:rFonts w:ascii="Times New Roman" w:hAnsi="Times New Roman"/>
          <w:sz w:val="24"/>
          <w:szCs w:val="24"/>
        </w:rPr>
        <w:t>f</w:t>
      </w:r>
      <w:r w:rsidRPr="00F7699D">
        <w:rPr>
          <w:rFonts w:ascii="Times New Roman" w:hAnsi="Times New Roman"/>
          <w:sz w:val="24"/>
          <w:szCs w:val="24"/>
        </w:rPr>
        <w:t xml:space="preserve">ang Liang,  </w:t>
      </w:r>
      <w:r w:rsidR="00550CEF">
        <w:rPr>
          <w:rFonts w:ascii="Times New Roman" w:hAnsi="Times New Roman"/>
          <w:sz w:val="24"/>
          <w:szCs w:val="24"/>
        </w:rPr>
        <w:t xml:space="preserve">Kaiyue Huang, </w:t>
      </w:r>
      <w:r>
        <w:rPr>
          <w:rFonts w:ascii="Times New Roman" w:hAnsi="Times New Roman"/>
          <w:sz w:val="24"/>
          <w:szCs w:val="24"/>
        </w:rPr>
        <w:t xml:space="preserve">Jens Pfannstiel, </w:t>
      </w:r>
      <w:r w:rsidRPr="00F7699D">
        <w:rPr>
          <w:rFonts w:ascii="Times New Roman" w:hAnsi="Times New Roman"/>
          <w:sz w:val="24"/>
          <w:szCs w:val="24"/>
        </w:rPr>
        <w:t>Min</w:t>
      </w:r>
      <w:r>
        <w:rPr>
          <w:rFonts w:ascii="Times New Roman" w:hAnsi="Times New Roman"/>
          <w:sz w:val="24"/>
          <w:szCs w:val="24"/>
        </w:rPr>
        <w:t>-</w:t>
      </w:r>
      <w:proofErr w:type="spellStart"/>
      <w:r>
        <w:rPr>
          <w:rFonts w:ascii="Times New Roman" w:hAnsi="Times New Roman"/>
          <w:sz w:val="24"/>
          <w:szCs w:val="24"/>
        </w:rPr>
        <w:t>Chuan</w:t>
      </w:r>
      <w:proofErr w:type="spellEnd"/>
      <w:r>
        <w:rPr>
          <w:rFonts w:ascii="Times New Roman" w:hAnsi="Times New Roman"/>
          <w:sz w:val="24"/>
          <w:szCs w:val="24"/>
        </w:rPr>
        <w:t xml:space="preserve"> Huang, </w:t>
      </w:r>
      <w:proofErr w:type="spellStart"/>
      <w:r w:rsidRPr="004D5DBE">
        <w:rPr>
          <w:rFonts w:ascii="Times New Roman" w:hAnsi="Times New Roman"/>
          <w:sz w:val="24"/>
          <w:szCs w:val="24"/>
        </w:rPr>
        <w:t>Neng</w:t>
      </w:r>
      <w:proofErr w:type="spellEnd"/>
      <w:r w:rsidRPr="004D5DBE">
        <w:rPr>
          <w:rFonts w:ascii="Times New Roman" w:hAnsi="Times New Roman"/>
          <w:sz w:val="24"/>
          <w:szCs w:val="24"/>
        </w:rPr>
        <w:t>-Yu Lin</w:t>
      </w:r>
      <w:r>
        <w:rPr>
          <w:rFonts w:ascii="Times New Roman" w:hAnsi="Times New Roman"/>
          <w:sz w:val="24"/>
          <w:szCs w:val="24"/>
        </w:rPr>
        <w:t>,</w:t>
      </w:r>
      <w:r w:rsidRPr="00BA2414">
        <w:t xml:space="preserve"> </w:t>
      </w:r>
      <w:r w:rsidRPr="00BA2414">
        <w:rPr>
          <w:rFonts w:ascii="Times New Roman" w:hAnsi="Times New Roman"/>
          <w:sz w:val="24"/>
          <w:szCs w:val="24"/>
        </w:rPr>
        <w:t>Andreas Ramming</w:t>
      </w:r>
      <w:r w:rsidRPr="00601FF0">
        <w:rPr>
          <w:rFonts w:ascii="Times New Roman" w:hAnsi="Times New Roman"/>
          <w:sz w:val="24"/>
          <w:szCs w:val="24"/>
        </w:rPr>
        <w:t>,</w:t>
      </w:r>
      <w:r>
        <w:rPr>
          <w:rFonts w:ascii="Times New Roman" w:hAnsi="Times New Roman"/>
          <w:sz w:val="24"/>
          <w:szCs w:val="24"/>
        </w:rPr>
        <w:t xml:space="preserve"> </w:t>
      </w:r>
      <w:r w:rsidRPr="00601FF0">
        <w:rPr>
          <w:rFonts w:ascii="Times New Roman" w:hAnsi="Times New Roman"/>
          <w:sz w:val="24"/>
          <w:szCs w:val="24"/>
        </w:rPr>
        <w:t>Georg Schett, Jörg H.W. Distler</w:t>
      </w:r>
      <w:r w:rsidRPr="00E31C60">
        <w:rPr>
          <w:rFonts w:ascii="Times New Roman" w:hAnsi="Times New Roman"/>
          <w:sz w:val="24"/>
          <w:szCs w:val="24"/>
          <w:vertAlign w:val="superscript"/>
        </w:rPr>
        <w:t>*</w:t>
      </w:r>
    </w:p>
    <w:p w:rsidR="00E31C60" w:rsidRDefault="00E31C60" w:rsidP="00E31C60">
      <w:pPr>
        <w:spacing w:line="480" w:lineRule="auto"/>
      </w:pPr>
    </w:p>
    <w:p w:rsidR="00E31C60" w:rsidRPr="00D003AC" w:rsidRDefault="00E31C60" w:rsidP="00D003AC">
      <w:pPr>
        <w:tabs>
          <w:tab w:val="left" w:pos="2340"/>
        </w:tabs>
        <w:spacing w:line="480" w:lineRule="auto"/>
        <w:rPr>
          <w:rFonts w:ascii="Times New Roman" w:hAnsi="Times New Roman"/>
          <w:bCs/>
          <w:sz w:val="24"/>
          <w:szCs w:val="24"/>
        </w:rPr>
      </w:pPr>
      <w:r w:rsidRPr="004703BF">
        <w:rPr>
          <w:rFonts w:ascii="Times New Roman" w:hAnsi="Times New Roman"/>
          <w:sz w:val="24"/>
          <w:szCs w:val="24"/>
        </w:rPr>
        <w:t>*Corresponding author:</w:t>
      </w:r>
      <w:r w:rsidRPr="004703BF">
        <w:rPr>
          <w:rFonts w:ascii="Times New Roman" w:hAnsi="Times New Roman"/>
          <w:bCs/>
          <w:sz w:val="24"/>
          <w:szCs w:val="24"/>
        </w:rPr>
        <w:t xml:space="preserve"> Jörg H. W. Distler, MD; </w:t>
      </w:r>
      <w:r w:rsidRPr="004703BF">
        <w:rPr>
          <w:rFonts w:ascii="Times New Roman" w:hAnsi="Times New Roman"/>
          <w:sz w:val="24"/>
          <w:szCs w:val="24"/>
        </w:rPr>
        <w:t xml:space="preserve">Department of Internal Medicine </w:t>
      </w:r>
      <w:r>
        <w:rPr>
          <w:rFonts w:ascii="Times New Roman" w:hAnsi="Times New Roman"/>
          <w:sz w:val="24"/>
          <w:szCs w:val="24"/>
        </w:rPr>
        <w:t>3</w:t>
      </w:r>
      <w:r w:rsidRPr="004703BF">
        <w:rPr>
          <w:rFonts w:ascii="Times New Roman" w:hAnsi="Times New Roman"/>
          <w:sz w:val="24"/>
          <w:szCs w:val="24"/>
        </w:rPr>
        <w:t xml:space="preserve"> – Rheumatology and Immunology, Friedrich</w:t>
      </w:r>
      <w:r>
        <w:rPr>
          <w:rFonts w:ascii="Times New Roman" w:hAnsi="Times New Roman"/>
          <w:sz w:val="24"/>
          <w:szCs w:val="24"/>
        </w:rPr>
        <w:t xml:space="preserve"> </w:t>
      </w:r>
      <w:r w:rsidRPr="004703BF">
        <w:rPr>
          <w:rFonts w:ascii="Times New Roman" w:hAnsi="Times New Roman"/>
          <w:sz w:val="24"/>
          <w:szCs w:val="24"/>
        </w:rPr>
        <w:t>Alexander</w:t>
      </w:r>
      <w:r>
        <w:rPr>
          <w:rFonts w:ascii="Times New Roman" w:hAnsi="Times New Roman"/>
          <w:sz w:val="24"/>
          <w:szCs w:val="24"/>
        </w:rPr>
        <w:t xml:space="preserve"> </w:t>
      </w:r>
      <w:r w:rsidRPr="004703BF">
        <w:rPr>
          <w:rFonts w:ascii="Times New Roman" w:hAnsi="Times New Roman"/>
          <w:sz w:val="24"/>
          <w:szCs w:val="24"/>
        </w:rPr>
        <w:t>University Erlangen-</w:t>
      </w:r>
      <w:r w:rsidRPr="004703BF">
        <w:rPr>
          <w:rFonts w:ascii="Times New Roman" w:hAnsi="Times New Roman"/>
          <w:bCs/>
          <w:sz w:val="24"/>
          <w:szCs w:val="24"/>
        </w:rPr>
        <w:t>N</w:t>
      </w:r>
      <w:r>
        <w:rPr>
          <w:rFonts w:ascii="Times New Roman" w:hAnsi="Times New Roman"/>
          <w:bCs/>
          <w:sz w:val="24"/>
          <w:szCs w:val="24"/>
        </w:rPr>
        <w:t>urem</w:t>
      </w:r>
      <w:r w:rsidRPr="004703BF">
        <w:rPr>
          <w:rFonts w:ascii="Times New Roman" w:hAnsi="Times New Roman"/>
          <w:bCs/>
          <w:sz w:val="24"/>
          <w:szCs w:val="24"/>
        </w:rPr>
        <w:t>berg</w:t>
      </w:r>
      <w:r w:rsidRPr="004703BF">
        <w:rPr>
          <w:rFonts w:ascii="Times New Roman" w:hAnsi="Times New Roman"/>
          <w:sz w:val="24"/>
          <w:szCs w:val="24"/>
        </w:rPr>
        <w:t xml:space="preserve"> (FAU) and </w:t>
      </w:r>
      <w:proofErr w:type="spellStart"/>
      <w:r w:rsidRPr="00266F27">
        <w:rPr>
          <w:rFonts w:ascii="Times New Roman" w:hAnsi="Times New Roman"/>
          <w:sz w:val="24"/>
          <w:szCs w:val="24"/>
        </w:rPr>
        <w:t>Universitaetsklinikum</w:t>
      </w:r>
      <w:proofErr w:type="spellEnd"/>
      <w:r w:rsidRPr="00266F27">
        <w:rPr>
          <w:rFonts w:ascii="Times New Roman" w:hAnsi="Times New Roman"/>
          <w:sz w:val="24"/>
          <w:szCs w:val="24"/>
        </w:rPr>
        <w:t xml:space="preserve"> Erlangen</w:t>
      </w:r>
      <w:r w:rsidRPr="004703BF">
        <w:rPr>
          <w:rFonts w:ascii="Times New Roman" w:hAnsi="Times New Roman"/>
          <w:sz w:val="24"/>
          <w:szCs w:val="24"/>
        </w:rPr>
        <w:t xml:space="preserve">, </w:t>
      </w:r>
      <w:proofErr w:type="spellStart"/>
      <w:r w:rsidRPr="004703BF">
        <w:rPr>
          <w:rFonts w:ascii="Times New Roman" w:hAnsi="Times New Roman"/>
          <w:bCs/>
          <w:sz w:val="24"/>
          <w:szCs w:val="24"/>
        </w:rPr>
        <w:t>Ulmenweg</w:t>
      </w:r>
      <w:proofErr w:type="spellEnd"/>
      <w:r w:rsidRPr="004703BF">
        <w:rPr>
          <w:rFonts w:ascii="Times New Roman" w:hAnsi="Times New Roman"/>
          <w:bCs/>
          <w:sz w:val="24"/>
          <w:szCs w:val="24"/>
        </w:rPr>
        <w:t xml:space="preserve"> 18, 91054 Erlangen, Germany, Tel.: +49 9131 43008, FAX: +49 9131 35467, Email: joerg.distler@uk-erlangen.de  </w:t>
      </w:r>
      <w:r>
        <w:br w:type="page"/>
      </w:r>
    </w:p>
    <w:p w:rsidR="00550CEF" w:rsidRPr="00913CFB" w:rsidRDefault="00550CEF" w:rsidP="00550CEF">
      <w:pPr>
        <w:outlineLvl w:val="0"/>
        <w:rPr>
          <w:rFonts w:ascii="Times New Roman" w:hAnsi="Times New Roman"/>
          <w:b/>
          <w:noProof/>
          <w:sz w:val="24"/>
          <w:szCs w:val="24"/>
        </w:rPr>
      </w:pPr>
      <w:r w:rsidRPr="00913CFB">
        <w:rPr>
          <w:rFonts w:ascii="Times New Roman" w:hAnsi="Times New Roman"/>
          <w:b/>
          <w:noProof/>
          <w:sz w:val="24"/>
          <w:szCs w:val="24"/>
        </w:rPr>
        <w:lastRenderedPageBreak/>
        <w:t>Supplementary table</w:t>
      </w:r>
    </w:p>
    <w:p w:rsidR="00550CEF" w:rsidRPr="00913CFB" w:rsidRDefault="00550CEF" w:rsidP="00550CEF">
      <w:pPr>
        <w:rPr>
          <w:rFonts w:ascii="Times New Roman" w:hAnsi="Times New Roman"/>
          <w:b/>
          <w:noProof/>
          <w:sz w:val="24"/>
          <w:szCs w:val="24"/>
        </w:rPr>
      </w:pPr>
    </w:p>
    <w:p w:rsidR="00550CEF" w:rsidRPr="00913CFB" w:rsidRDefault="00550CEF" w:rsidP="00550CEF">
      <w:pPr>
        <w:outlineLvl w:val="1"/>
        <w:rPr>
          <w:rFonts w:ascii="Times New Roman" w:eastAsia="Times New Roman" w:hAnsi="Times New Roman"/>
          <w:b/>
          <w:color w:val="000000" w:themeColor="text1"/>
          <w:kern w:val="24"/>
          <w:sz w:val="24"/>
          <w:szCs w:val="24"/>
          <w:lang w:eastAsia="zh-TW"/>
        </w:rPr>
      </w:pPr>
      <w:r w:rsidRPr="00913CFB">
        <w:rPr>
          <w:rFonts w:ascii="Times New Roman" w:eastAsia="Times New Roman" w:hAnsi="Times New Roman"/>
          <w:b/>
          <w:color w:val="000000" w:themeColor="text1"/>
          <w:kern w:val="24"/>
          <w:sz w:val="24"/>
          <w:szCs w:val="24"/>
          <w:lang w:eastAsia="zh-TW"/>
        </w:rPr>
        <w:t>Supplementary Table 1. Primer pairs used to determine mRNA levels by qPCR</w:t>
      </w:r>
    </w:p>
    <w:tbl>
      <w:tblPr>
        <w:tblStyle w:val="EinfacheTabelle31"/>
        <w:tblW w:w="9908" w:type="dxa"/>
        <w:tblLook w:val="04A0" w:firstRow="1" w:lastRow="0" w:firstColumn="1" w:lastColumn="0" w:noHBand="0" w:noVBand="1"/>
      </w:tblPr>
      <w:tblGrid>
        <w:gridCol w:w="1890"/>
        <w:gridCol w:w="4009"/>
        <w:gridCol w:w="4009"/>
      </w:tblGrid>
      <w:tr w:rsidR="00550CEF" w:rsidRPr="00913CFB" w:rsidTr="00B507E2">
        <w:trPr>
          <w:cnfStyle w:val="100000000000" w:firstRow="1" w:lastRow="0" w:firstColumn="0" w:lastColumn="0" w:oddVBand="0" w:evenVBand="0" w:oddHBand="0" w:evenHBand="0" w:firstRowFirstColumn="0" w:firstRowLastColumn="0" w:lastRowFirstColumn="0" w:lastRowLastColumn="0"/>
          <w:trHeight w:val="439"/>
        </w:trPr>
        <w:tc>
          <w:tcPr>
            <w:cnfStyle w:val="001000000100" w:firstRow="0" w:lastRow="0" w:firstColumn="1" w:lastColumn="0" w:oddVBand="0" w:evenVBand="0" w:oddHBand="0" w:evenHBand="0" w:firstRowFirstColumn="1" w:firstRowLastColumn="0" w:lastRowFirstColumn="0" w:lastRowLastColumn="0"/>
            <w:tcW w:w="1890" w:type="dxa"/>
            <w:tcBorders>
              <w:right w:val="single" w:sz="4" w:space="0" w:color="auto"/>
            </w:tcBorders>
            <w:vAlign w:val="center"/>
          </w:tcPr>
          <w:p w:rsidR="00550CEF" w:rsidRPr="00913CFB" w:rsidRDefault="00550CEF" w:rsidP="00B507E2">
            <w:pPr>
              <w:spacing w:line="276" w:lineRule="auto"/>
              <w:jc w:val="center"/>
              <w:rPr>
                <w:rFonts w:ascii="Times New Roman" w:eastAsia="Times New Roman" w:hAnsi="Times New Roman" w:cs="Times New Roman"/>
                <w:caps w:val="0"/>
                <w:color w:val="000000" w:themeColor="text1"/>
                <w:kern w:val="24"/>
                <w:sz w:val="24"/>
                <w:szCs w:val="24"/>
                <w:lang w:eastAsia="zh-TW"/>
              </w:rPr>
            </w:pPr>
            <w:r w:rsidRPr="00913CFB">
              <w:rPr>
                <w:rFonts w:ascii="Times New Roman" w:eastAsia="Times New Roman" w:hAnsi="Times New Roman" w:cs="Times New Roman"/>
                <w:caps w:val="0"/>
                <w:color w:val="000000" w:themeColor="text1"/>
                <w:kern w:val="24"/>
                <w:sz w:val="24"/>
                <w:szCs w:val="24"/>
                <w:lang w:eastAsia="zh-TW"/>
              </w:rPr>
              <w:t>Primer pairs</w:t>
            </w:r>
          </w:p>
        </w:tc>
        <w:tc>
          <w:tcPr>
            <w:tcW w:w="4009" w:type="dxa"/>
            <w:tcBorders>
              <w:left w:val="single" w:sz="4" w:space="0" w:color="auto"/>
              <w:right w:val="single" w:sz="4" w:space="0" w:color="auto"/>
            </w:tcBorders>
            <w:vAlign w:val="center"/>
          </w:tcPr>
          <w:p w:rsidR="00550CEF" w:rsidRPr="00913CFB" w:rsidRDefault="00550CEF" w:rsidP="00B507E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aps w:val="0"/>
                <w:color w:val="000000" w:themeColor="text1"/>
                <w:kern w:val="24"/>
                <w:sz w:val="24"/>
                <w:szCs w:val="24"/>
                <w:lang w:eastAsia="zh-TW"/>
              </w:rPr>
            </w:pPr>
            <w:r w:rsidRPr="00913CFB">
              <w:rPr>
                <w:rFonts w:ascii="Times New Roman" w:eastAsia="Times New Roman" w:hAnsi="Times New Roman" w:cs="Times New Roman"/>
                <w:caps w:val="0"/>
                <w:color w:val="000000" w:themeColor="text1"/>
                <w:kern w:val="24"/>
                <w:sz w:val="24"/>
                <w:szCs w:val="24"/>
                <w:lang w:eastAsia="zh-TW"/>
              </w:rPr>
              <w:t>Forward primer (5</w:t>
            </w:r>
            <w:r w:rsidRPr="00913CFB">
              <w:rPr>
                <w:rFonts w:eastAsia="Times New Roman" w:cstheme="minorHAnsi"/>
                <w:caps w:val="0"/>
                <w:color w:val="000000" w:themeColor="text1"/>
                <w:kern w:val="24"/>
                <w:sz w:val="24"/>
                <w:szCs w:val="24"/>
                <w:lang w:eastAsia="zh-TW"/>
              </w:rPr>
              <w:t>’–</w:t>
            </w:r>
            <w:r w:rsidRPr="00913CFB">
              <w:rPr>
                <w:rFonts w:ascii="Times New Roman" w:eastAsia="Times New Roman" w:hAnsi="Times New Roman" w:cs="Times New Roman"/>
                <w:caps w:val="0"/>
                <w:color w:val="000000" w:themeColor="text1"/>
                <w:kern w:val="24"/>
                <w:sz w:val="24"/>
                <w:szCs w:val="24"/>
                <w:lang w:eastAsia="zh-TW"/>
              </w:rPr>
              <w:t>3</w:t>
            </w:r>
            <w:r w:rsidRPr="00913CFB">
              <w:rPr>
                <w:rFonts w:eastAsia="Times New Roman" w:cstheme="minorHAnsi"/>
                <w:caps w:val="0"/>
                <w:color w:val="000000" w:themeColor="text1"/>
                <w:kern w:val="24"/>
                <w:sz w:val="24"/>
                <w:szCs w:val="24"/>
                <w:lang w:eastAsia="zh-TW"/>
              </w:rPr>
              <w:t>’</w:t>
            </w:r>
            <w:r w:rsidRPr="00913CFB">
              <w:rPr>
                <w:rFonts w:ascii="Times New Roman" w:eastAsia="Times New Roman" w:hAnsi="Times New Roman" w:cs="Times New Roman"/>
                <w:caps w:val="0"/>
                <w:color w:val="000000" w:themeColor="text1"/>
                <w:kern w:val="24"/>
                <w:sz w:val="24"/>
                <w:szCs w:val="24"/>
                <w:lang w:eastAsia="zh-TW"/>
              </w:rPr>
              <w:t>)</w:t>
            </w:r>
          </w:p>
        </w:tc>
        <w:tc>
          <w:tcPr>
            <w:tcW w:w="4009" w:type="dxa"/>
            <w:tcBorders>
              <w:left w:val="single" w:sz="4" w:space="0" w:color="auto"/>
            </w:tcBorders>
            <w:vAlign w:val="center"/>
          </w:tcPr>
          <w:p w:rsidR="00550CEF" w:rsidRPr="00913CFB" w:rsidRDefault="00550CEF" w:rsidP="00B507E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aps w:val="0"/>
                <w:color w:val="000000" w:themeColor="text1"/>
                <w:kern w:val="24"/>
                <w:sz w:val="24"/>
                <w:szCs w:val="24"/>
                <w:lang w:eastAsia="zh-TW"/>
              </w:rPr>
            </w:pPr>
            <w:r w:rsidRPr="00913CFB">
              <w:rPr>
                <w:rFonts w:ascii="Times New Roman" w:eastAsia="Times New Roman" w:hAnsi="Times New Roman" w:cs="Times New Roman"/>
                <w:caps w:val="0"/>
                <w:color w:val="000000" w:themeColor="text1"/>
                <w:kern w:val="24"/>
                <w:sz w:val="24"/>
                <w:szCs w:val="24"/>
                <w:lang w:eastAsia="zh-TW"/>
              </w:rPr>
              <w:t>Reverse primer (5</w:t>
            </w:r>
            <w:r w:rsidRPr="00913CFB">
              <w:rPr>
                <w:rFonts w:eastAsia="Times New Roman" w:cstheme="minorHAnsi"/>
                <w:caps w:val="0"/>
                <w:color w:val="000000" w:themeColor="text1"/>
                <w:kern w:val="24"/>
                <w:sz w:val="24"/>
                <w:szCs w:val="24"/>
                <w:lang w:eastAsia="zh-TW"/>
              </w:rPr>
              <w:t>’–</w:t>
            </w:r>
            <w:r w:rsidRPr="00913CFB">
              <w:rPr>
                <w:rFonts w:ascii="Times New Roman" w:eastAsia="Times New Roman" w:hAnsi="Times New Roman" w:cs="Times New Roman"/>
                <w:caps w:val="0"/>
                <w:color w:val="000000" w:themeColor="text1"/>
                <w:kern w:val="24"/>
                <w:sz w:val="24"/>
                <w:szCs w:val="24"/>
                <w:lang w:eastAsia="zh-TW"/>
              </w:rPr>
              <w:t>3</w:t>
            </w:r>
            <w:r w:rsidRPr="00913CFB">
              <w:rPr>
                <w:rFonts w:eastAsia="Times New Roman" w:cstheme="minorHAnsi"/>
                <w:caps w:val="0"/>
                <w:color w:val="000000" w:themeColor="text1"/>
                <w:kern w:val="24"/>
                <w:sz w:val="24"/>
                <w:szCs w:val="24"/>
                <w:lang w:eastAsia="zh-TW"/>
              </w:rPr>
              <w:t>’</w:t>
            </w:r>
            <w:r w:rsidRPr="00913CFB">
              <w:rPr>
                <w:rFonts w:ascii="Times New Roman" w:eastAsia="Times New Roman" w:hAnsi="Times New Roman" w:cs="Times New Roman"/>
                <w:caps w:val="0"/>
                <w:color w:val="000000" w:themeColor="text1"/>
                <w:kern w:val="24"/>
                <w:sz w:val="24"/>
                <w:szCs w:val="24"/>
                <w:lang w:eastAsia="zh-TW"/>
              </w:rPr>
              <w:t>)</w:t>
            </w:r>
          </w:p>
        </w:tc>
      </w:tr>
      <w:tr w:rsidR="00550CEF" w:rsidRPr="00913CFB" w:rsidTr="00B507E2">
        <w:trPr>
          <w:cnfStyle w:val="000000100000" w:firstRow="0" w:lastRow="0" w:firstColumn="0" w:lastColumn="0" w:oddVBand="0" w:evenVBand="0" w:oddHBand="1"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1890" w:type="dxa"/>
            <w:tcBorders>
              <w:right w:val="single" w:sz="4" w:space="0" w:color="auto"/>
            </w:tcBorders>
            <w:vAlign w:val="center"/>
          </w:tcPr>
          <w:p w:rsidR="00550CEF" w:rsidRPr="00913CFB" w:rsidRDefault="00550CEF" w:rsidP="00B507E2">
            <w:pPr>
              <w:spacing w:line="276" w:lineRule="auto"/>
              <w:jc w:val="center"/>
              <w:rPr>
                <w:rFonts w:ascii="Times New Roman" w:eastAsia="Times New Roman" w:hAnsi="Times New Roman" w:cs="Times New Roman"/>
                <w:i/>
                <w:caps w:val="0"/>
                <w:color w:val="000000" w:themeColor="text1"/>
                <w:kern w:val="24"/>
                <w:sz w:val="24"/>
                <w:szCs w:val="24"/>
                <w:lang w:eastAsia="zh-TW"/>
              </w:rPr>
            </w:pPr>
            <w:proofErr w:type="spellStart"/>
            <w:r w:rsidRPr="00913CFB">
              <w:rPr>
                <w:rFonts w:ascii="Times New Roman" w:eastAsia="Times New Roman" w:hAnsi="Times New Roman" w:cs="Times New Roman"/>
                <w:i/>
                <w:caps w:val="0"/>
                <w:color w:val="000000" w:themeColor="text1"/>
                <w:kern w:val="24"/>
                <w:sz w:val="24"/>
                <w:szCs w:val="24"/>
                <w:lang w:eastAsia="zh-TW"/>
              </w:rPr>
              <w:t>Actb</w:t>
            </w:r>
            <w:proofErr w:type="spellEnd"/>
          </w:p>
        </w:tc>
        <w:tc>
          <w:tcPr>
            <w:tcW w:w="4009" w:type="dxa"/>
            <w:tcBorders>
              <w:left w:val="single" w:sz="4" w:space="0" w:color="auto"/>
              <w:right w:val="single" w:sz="4" w:space="0" w:color="auto"/>
            </w:tcBorders>
            <w:vAlign w:val="center"/>
          </w:tcPr>
          <w:p w:rsidR="00550CEF" w:rsidRPr="00913CFB" w:rsidRDefault="00550CEF" w:rsidP="00B507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kern w:val="24"/>
                <w:sz w:val="24"/>
                <w:szCs w:val="24"/>
                <w:lang w:eastAsia="zh-TW"/>
              </w:rPr>
            </w:pPr>
            <w:r w:rsidRPr="00913CFB">
              <w:rPr>
                <w:rFonts w:ascii="Times New Roman" w:eastAsia="Times New Roman" w:hAnsi="Times New Roman" w:cs="Times New Roman"/>
                <w:color w:val="000000" w:themeColor="text1"/>
                <w:kern w:val="24"/>
                <w:sz w:val="24"/>
                <w:szCs w:val="24"/>
                <w:lang w:eastAsia="zh-TW"/>
              </w:rPr>
              <w:t>TCTTTGATGTCACGCACGAT</w:t>
            </w:r>
          </w:p>
        </w:tc>
        <w:tc>
          <w:tcPr>
            <w:tcW w:w="4009" w:type="dxa"/>
            <w:tcBorders>
              <w:left w:val="single" w:sz="4" w:space="0" w:color="auto"/>
            </w:tcBorders>
            <w:vAlign w:val="center"/>
          </w:tcPr>
          <w:p w:rsidR="00550CEF" w:rsidRPr="00913CFB" w:rsidRDefault="00550CEF" w:rsidP="00B507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kern w:val="24"/>
                <w:sz w:val="24"/>
                <w:szCs w:val="24"/>
                <w:lang w:eastAsia="zh-TW"/>
              </w:rPr>
            </w:pPr>
            <w:r w:rsidRPr="00913CFB">
              <w:rPr>
                <w:rFonts w:ascii="Times New Roman" w:eastAsia="Times New Roman" w:hAnsi="Times New Roman" w:cs="Times New Roman"/>
                <w:color w:val="000000" w:themeColor="text1"/>
                <w:kern w:val="24"/>
                <w:sz w:val="24"/>
                <w:szCs w:val="24"/>
                <w:lang w:eastAsia="zh-TW"/>
              </w:rPr>
              <w:t>ACAGCTTCACCACCACA</w:t>
            </w:r>
          </w:p>
        </w:tc>
      </w:tr>
      <w:tr w:rsidR="00550CEF" w:rsidRPr="00913CFB" w:rsidTr="00B507E2">
        <w:trPr>
          <w:trHeight w:val="439"/>
        </w:trPr>
        <w:tc>
          <w:tcPr>
            <w:cnfStyle w:val="001000000000" w:firstRow="0" w:lastRow="0" w:firstColumn="1" w:lastColumn="0" w:oddVBand="0" w:evenVBand="0" w:oddHBand="0" w:evenHBand="0" w:firstRowFirstColumn="0" w:firstRowLastColumn="0" w:lastRowFirstColumn="0" w:lastRowLastColumn="0"/>
            <w:tcW w:w="1890" w:type="dxa"/>
            <w:tcBorders>
              <w:right w:val="single" w:sz="4" w:space="0" w:color="auto"/>
            </w:tcBorders>
            <w:vAlign w:val="center"/>
          </w:tcPr>
          <w:p w:rsidR="00550CEF" w:rsidRPr="00913CFB" w:rsidRDefault="00550CEF" w:rsidP="00B507E2">
            <w:pPr>
              <w:spacing w:line="276" w:lineRule="auto"/>
              <w:jc w:val="center"/>
              <w:rPr>
                <w:rFonts w:ascii="Times New Roman" w:eastAsia="Times New Roman" w:hAnsi="Times New Roman" w:cs="Times New Roman"/>
                <w:i/>
                <w:caps w:val="0"/>
                <w:color w:val="000000" w:themeColor="text1"/>
                <w:kern w:val="24"/>
                <w:sz w:val="24"/>
                <w:szCs w:val="24"/>
                <w:lang w:eastAsia="zh-TW"/>
              </w:rPr>
            </w:pPr>
            <w:r w:rsidRPr="00913CFB">
              <w:rPr>
                <w:rFonts w:ascii="Times New Roman" w:eastAsia="Times New Roman" w:hAnsi="Times New Roman" w:cs="Times New Roman"/>
                <w:i/>
                <w:caps w:val="0"/>
                <w:color w:val="000000" w:themeColor="text1"/>
                <w:kern w:val="24"/>
                <w:sz w:val="24"/>
                <w:szCs w:val="24"/>
                <w:lang w:eastAsia="zh-TW"/>
              </w:rPr>
              <w:t>Acp5</w:t>
            </w:r>
          </w:p>
        </w:tc>
        <w:tc>
          <w:tcPr>
            <w:tcW w:w="4009" w:type="dxa"/>
            <w:tcBorders>
              <w:left w:val="single" w:sz="4" w:space="0" w:color="auto"/>
              <w:right w:val="single" w:sz="4" w:space="0" w:color="auto"/>
            </w:tcBorders>
            <w:vAlign w:val="center"/>
          </w:tcPr>
          <w:p w:rsidR="00550CEF" w:rsidRPr="00913CFB" w:rsidRDefault="00550CEF" w:rsidP="00B507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24"/>
                <w:sz w:val="24"/>
                <w:szCs w:val="24"/>
                <w:lang w:eastAsia="zh-TW"/>
              </w:rPr>
            </w:pPr>
            <w:r w:rsidRPr="00913CFB">
              <w:rPr>
                <w:rFonts w:ascii="Times New Roman" w:eastAsia="Times New Roman" w:hAnsi="Times New Roman" w:cs="Times New Roman"/>
                <w:kern w:val="24"/>
                <w:sz w:val="24"/>
                <w:szCs w:val="24"/>
                <w:lang w:eastAsia="zh-TW"/>
              </w:rPr>
              <w:t>CGACCATTGTTAGCCACATACG</w:t>
            </w:r>
          </w:p>
        </w:tc>
        <w:tc>
          <w:tcPr>
            <w:tcW w:w="4009" w:type="dxa"/>
            <w:tcBorders>
              <w:left w:val="single" w:sz="4" w:space="0" w:color="auto"/>
            </w:tcBorders>
            <w:vAlign w:val="center"/>
          </w:tcPr>
          <w:p w:rsidR="00550CEF" w:rsidRPr="00913CFB" w:rsidRDefault="00550CEF" w:rsidP="00B507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24"/>
                <w:sz w:val="24"/>
                <w:szCs w:val="24"/>
                <w:lang w:eastAsia="zh-TW"/>
              </w:rPr>
            </w:pPr>
            <w:r w:rsidRPr="00913CFB">
              <w:rPr>
                <w:rFonts w:ascii="Times New Roman" w:eastAsia="Times New Roman" w:hAnsi="Times New Roman" w:cs="Times New Roman"/>
                <w:kern w:val="24"/>
                <w:sz w:val="24"/>
                <w:szCs w:val="24"/>
                <w:lang w:eastAsia="zh-TW"/>
              </w:rPr>
              <w:t>TCGTCCTGAAGATACTGCAGGTT</w:t>
            </w:r>
          </w:p>
        </w:tc>
      </w:tr>
      <w:tr w:rsidR="00550CEF" w:rsidRPr="00913CFB" w:rsidTr="00B507E2">
        <w:trPr>
          <w:cnfStyle w:val="000000100000" w:firstRow="0" w:lastRow="0" w:firstColumn="0" w:lastColumn="0" w:oddVBand="0" w:evenVBand="0" w:oddHBand="1"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1890" w:type="dxa"/>
            <w:tcBorders>
              <w:right w:val="single" w:sz="4" w:space="0" w:color="auto"/>
            </w:tcBorders>
            <w:vAlign w:val="center"/>
          </w:tcPr>
          <w:p w:rsidR="00550CEF" w:rsidRPr="00913CFB" w:rsidRDefault="00550CEF" w:rsidP="00B507E2">
            <w:pPr>
              <w:spacing w:line="276" w:lineRule="auto"/>
              <w:jc w:val="center"/>
              <w:rPr>
                <w:rFonts w:ascii="Times New Roman" w:eastAsia="Times New Roman" w:hAnsi="Times New Roman" w:cs="Times New Roman"/>
                <w:i/>
                <w:caps w:val="0"/>
                <w:color w:val="000000" w:themeColor="text1"/>
                <w:kern w:val="24"/>
                <w:sz w:val="24"/>
                <w:szCs w:val="24"/>
                <w:lang w:eastAsia="zh-TW"/>
              </w:rPr>
            </w:pPr>
            <w:r w:rsidRPr="00913CFB">
              <w:rPr>
                <w:rFonts w:ascii="Times New Roman" w:eastAsia="Times New Roman" w:hAnsi="Times New Roman" w:cs="Times New Roman"/>
                <w:i/>
                <w:caps w:val="0"/>
                <w:color w:val="000000" w:themeColor="text1"/>
                <w:kern w:val="24"/>
                <w:sz w:val="24"/>
                <w:szCs w:val="24"/>
                <w:lang w:eastAsia="zh-TW"/>
              </w:rPr>
              <w:t>Nfatc1</w:t>
            </w:r>
          </w:p>
        </w:tc>
        <w:tc>
          <w:tcPr>
            <w:tcW w:w="4009" w:type="dxa"/>
            <w:tcBorders>
              <w:left w:val="single" w:sz="4" w:space="0" w:color="auto"/>
              <w:right w:val="single" w:sz="4" w:space="0" w:color="auto"/>
            </w:tcBorders>
            <w:vAlign w:val="center"/>
          </w:tcPr>
          <w:p w:rsidR="00550CEF" w:rsidRPr="00913CFB" w:rsidRDefault="00550CEF" w:rsidP="00B507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kern w:val="24"/>
                <w:sz w:val="24"/>
                <w:szCs w:val="24"/>
                <w:lang w:eastAsia="zh-TW"/>
              </w:rPr>
            </w:pPr>
            <w:r w:rsidRPr="00913CFB">
              <w:rPr>
                <w:rFonts w:ascii="Times New Roman" w:eastAsia="Times New Roman" w:hAnsi="Times New Roman" w:cs="Times New Roman"/>
                <w:color w:val="000000" w:themeColor="text1"/>
                <w:kern w:val="24"/>
                <w:sz w:val="24"/>
                <w:szCs w:val="24"/>
                <w:lang w:eastAsia="zh-TW"/>
              </w:rPr>
              <w:t>CAACAAGCGCAAGTACAGTCTC</w:t>
            </w:r>
          </w:p>
        </w:tc>
        <w:tc>
          <w:tcPr>
            <w:tcW w:w="4009" w:type="dxa"/>
            <w:tcBorders>
              <w:left w:val="single" w:sz="4" w:space="0" w:color="auto"/>
            </w:tcBorders>
            <w:vAlign w:val="center"/>
          </w:tcPr>
          <w:p w:rsidR="00550CEF" w:rsidRPr="00913CFB" w:rsidRDefault="00550CEF" w:rsidP="00B507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kern w:val="24"/>
                <w:sz w:val="24"/>
                <w:szCs w:val="24"/>
                <w:lang w:eastAsia="zh-TW"/>
              </w:rPr>
            </w:pPr>
            <w:r w:rsidRPr="00913CFB">
              <w:rPr>
                <w:rFonts w:ascii="Times New Roman" w:eastAsia="Times New Roman" w:hAnsi="Times New Roman" w:cs="Times New Roman"/>
                <w:color w:val="000000" w:themeColor="text1"/>
                <w:kern w:val="24"/>
                <w:sz w:val="24"/>
                <w:szCs w:val="24"/>
                <w:lang w:eastAsia="zh-TW"/>
              </w:rPr>
              <w:t>CAGGTATCTTCGGTCACACTGA</w:t>
            </w:r>
          </w:p>
        </w:tc>
      </w:tr>
      <w:tr w:rsidR="00550CEF" w:rsidRPr="00913CFB" w:rsidTr="00B507E2">
        <w:trPr>
          <w:trHeight w:val="439"/>
        </w:trPr>
        <w:tc>
          <w:tcPr>
            <w:cnfStyle w:val="001000000000" w:firstRow="0" w:lastRow="0" w:firstColumn="1" w:lastColumn="0" w:oddVBand="0" w:evenVBand="0" w:oddHBand="0" w:evenHBand="0" w:firstRowFirstColumn="0" w:firstRowLastColumn="0" w:lastRowFirstColumn="0" w:lastRowLastColumn="0"/>
            <w:tcW w:w="1890" w:type="dxa"/>
            <w:tcBorders>
              <w:right w:val="single" w:sz="4" w:space="0" w:color="auto"/>
            </w:tcBorders>
            <w:vAlign w:val="center"/>
          </w:tcPr>
          <w:p w:rsidR="00550CEF" w:rsidRPr="00913CFB" w:rsidRDefault="00550CEF" w:rsidP="00B507E2">
            <w:pPr>
              <w:spacing w:line="276" w:lineRule="auto"/>
              <w:jc w:val="center"/>
              <w:rPr>
                <w:rFonts w:ascii="Times New Roman" w:eastAsia="Times New Roman" w:hAnsi="Times New Roman" w:cs="Times New Roman"/>
                <w:i/>
                <w:caps w:val="0"/>
                <w:color w:val="000000" w:themeColor="text1"/>
                <w:kern w:val="24"/>
                <w:sz w:val="24"/>
                <w:szCs w:val="24"/>
                <w:lang w:eastAsia="zh-TW"/>
              </w:rPr>
            </w:pPr>
            <w:proofErr w:type="spellStart"/>
            <w:r w:rsidRPr="00913CFB">
              <w:rPr>
                <w:rFonts w:ascii="Times New Roman" w:eastAsia="Times New Roman" w:hAnsi="Times New Roman" w:cs="Times New Roman"/>
                <w:i/>
                <w:caps w:val="0"/>
                <w:color w:val="000000" w:themeColor="text1"/>
                <w:kern w:val="24"/>
                <w:sz w:val="24"/>
                <w:szCs w:val="24"/>
                <w:lang w:eastAsia="zh-TW"/>
              </w:rPr>
              <w:t>Ogt</w:t>
            </w:r>
            <w:proofErr w:type="spellEnd"/>
          </w:p>
        </w:tc>
        <w:tc>
          <w:tcPr>
            <w:tcW w:w="4009" w:type="dxa"/>
            <w:tcBorders>
              <w:left w:val="single" w:sz="4" w:space="0" w:color="auto"/>
              <w:right w:val="single" w:sz="4" w:space="0" w:color="auto"/>
            </w:tcBorders>
            <w:vAlign w:val="center"/>
          </w:tcPr>
          <w:p w:rsidR="00550CEF" w:rsidRPr="00913CFB" w:rsidRDefault="00550CEF" w:rsidP="00B507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kern w:val="24"/>
                <w:sz w:val="24"/>
                <w:szCs w:val="24"/>
                <w:lang w:eastAsia="zh-TW"/>
              </w:rPr>
            </w:pPr>
            <w:r w:rsidRPr="00913CFB">
              <w:rPr>
                <w:rFonts w:ascii="Times New Roman" w:eastAsia="Times New Roman" w:hAnsi="Times New Roman" w:cs="Times New Roman"/>
                <w:color w:val="000000" w:themeColor="text1"/>
                <w:kern w:val="24"/>
                <w:sz w:val="24"/>
                <w:szCs w:val="24"/>
                <w:lang w:eastAsia="zh-TW"/>
              </w:rPr>
              <w:t>GCACAAGGGGAGATTTGGCT</w:t>
            </w:r>
          </w:p>
        </w:tc>
        <w:tc>
          <w:tcPr>
            <w:tcW w:w="4009" w:type="dxa"/>
            <w:tcBorders>
              <w:left w:val="single" w:sz="4" w:space="0" w:color="auto"/>
            </w:tcBorders>
            <w:vAlign w:val="center"/>
          </w:tcPr>
          <w:p w:rsidR="00550CEF" w:rsidRPr="00913CFB" w:rsidRDefault="00550CEF" w:rsidP="00B507E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kern w:val="24"/>
                <w:sz w:val="24"/>
                <w:szCs w:val="24"/>
                <w:lang w:eastAsia="zh-TW"/>
              </w:rPr>
            </w:pPr>
            <w:r w:rsidRPr="00913CFB">
              <w:rPr>
                <w:rFonts w:ascii="Times New Roman" w:eastAsia="Times New Roman" w:hAnsi="Times New Roman" w:cs="Times New Roman"/>
                <w:color w:val="000000" w:themeColor="text1"/>
                <w:kern w:val="24"/>
                <w:sz w:val="24"/>
                <w:szCs w:val="24"/>
                <w:lang w:eastAsia="zh-TW"/>
              </w:rPr>
              <w:t>GCGTGCCTCTTTCAAGACATT</w:t>
            </w:r>
          </w:p>
        </w:tc>
      </w:tr>
      <w:tr w:rsidR="00550CEF" w:rsidTr="00B507E2">
        <w:trPr>
          <w:cnfStyle w:val="000000100000" w:firstRow="0" w:lastRow="0" w:firstColumn="0" w:lastColumn="0" w:oddVBand="0" w:evenVBand="0" w:oddHBand="1"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1890" w:type="dxa"/>
            <w:tcBorders>
              <w:bottom w:val="double" w:sz="4" w:space="0" w:color="auto"/>
              <w:right w:val="single" w:sz="4" w:space="0" w:color="auto"/>
            </w:tcBorders>
            <w:vAlign w:val="center"/>
          </w:tcPr>
          <w:p w:rsidR="00550CEF" w:rsidRPr="00913CFB" w:rsidRDefault="00550CEF" w:rsidP="00B507E2">
            <w:pPr>
              <w:spacing w:line="276" w:lineRule="auto"/>
              <w:jc w:val="center"/>
              <w:rPr>
                <w:rFonts w:ascii="Times New Roman" w:eastAsia="Times New Roman" w:hAnsi="Times New Roman" w:cs="Times New Roman"/>
                <w:i/>
                <w:caps w:val="0"/>
                <w:color w:val="000000" w:themeColor="text1"/>
                <w:kern w:val="24"/>
                <w:sz w:val="24"/>
                <w:szCs w:val="24"/>
                <w:lang w:eastAsia="zh-TW"/>
              </w:rPr>
            </w:pPr>
            <w:proofErr w:type="spellStart"/>
            <w:r w:rsidRPr="00913CFB">
              <w:rPr>
                <w:rFonts w:ascii="Times New Roman" w:eastAsia="Times New Roman" w:hAnsi="Times New Roman" w:cs="Times New Roman"/>
                <w:i/>
                <w:caps w:val="0"/>
                <w:color w:val="000000" w:themeColor="text1"/>
                <w:kern w:val="24"/>
                <w:sz w:val="24"/>
                <w:szCs w:val="24"/>
                <w:lang w:eastAsia="zh-TW"/>
              </w:rPr>
              <w:t>Oga</w:t>
            </w:r>
            <w:proofErr w:type="spellEnd"/>
          </w:p>
        </w:tc>
        <w:tc>
          <w:tcPr>
            <w:tcW w:w="4009" w:type="dxa"/>
            <w:tcBorders>
              <w:left w:val="single" w:sz="4" w:space="0" w:color="auto"/>
              <w:bottom w:val="double" w:sz="4" w:space="0" w:color="auto"/>
              <w:right w:val="single" w:sz="4" w:space="0" w:color="auto"/>
            </w:tcBorders>
            <w:vAlign w:val="center"/>
          </w:tcPr>
          <w:p w:rsidR="00550CEF" w:rsidRPr="00913CFB" w:rsidRDefault="00550CEF" w:rsidP="00B507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kern w:val="24"/>
                <w:sz w:val="24"/>
                <w:szCs w:val="24"/>
                <w:lang w:eastAsia="zh-TW"/>
              </w:rPr>
            </w:pPr>
            <w:r w:rsidRPr="00913CFB">
              <w:rPr>
                <w:rFonts w:ascii="Times New Roman" w:eastAsia="Times New Roman" w:hAnsi="Times New Roman" w:cs="Times New Roman"/>
                <w:color w:val="000000" w:themeColor="text1"/>
                <w:kern w:val="24"/>
                <w:sz w:val="24"/>
                <w:szCs w:val="24"/>
                <w:lang w:eastAsia="zh-TW"/>
              </w:rPr>
              <w:t>CGGGGGCTTCGTTGGAGCAG</w:t>
            </w:r>
          </w:p>
        </w:tc>
        <w:tc>
          <w:tcPr>
            <w:tcW w:w="4009" w:type="dxa"/>
            <w:tcBorders>
              <w:left w:val="single" w:sz="4" w:space="0" w:color="auto"/>
              <w:bottom w:val="double" w:sz="4" w:space="0" w:color="auto"/>
            </w:tcBorders>
            <w:vAlign w:val="center"/>
          </w:tcPr>
          <w:p w:rsidR="00550CEF" w:rsidRPr="002D0984" w:rsidRDefault="00550CEF" w:rsidP="00B507E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kern w:val="24"/>
                <w:sz w:val="24"/>
                <w:szCs w:val="24"/>
                <w:lang w:eastAsia="zh-TW"/>
              </w:rPr>
            </w:pPr>
            <w:r w:rsidRPr="00913CFB">
              <w:rPr>
                <w:rFonts w:ascii="Times New Roman" w:eastAsia="Times New Roman" w:hAnsi="Times New Roman" w:cs="Times New Roman"/>
                <w:color w:val="000000" w:themeColor="text1"/>
                <w:kern w:val="24"/>
                <w:sz w:val="24"/>
                <w:szCs w:val="24"/>
                <w:lang w:eastAsia="zh-TW"/>
              </w:rPr>
              <w:t>GTTATCTTCTCCGGGGGCGGG</w:t>
            </w:r>
          </w:p>
        </w:tc>
      </w:tr>
    </w:tbl>
    <w:p w:rsidR="00550CEF" w:rsidRDefault="00550CEF" w:rsidP="00550CEF">
      <w:pPr>
        <w:rPr>
          <w:rFonts w:ascii="Times New Roman" w:hAnsi="Times New Roman"/>
          <w:b/>
          <w:noProof/>
          <w:sz w:val="24"/>
          <w:szCs w:val="24"/>
        </w:rPr>
      </w:pPr>
      <w:r>
        <w:rPr>
          <w:rFonts w:ascii="Times New Roman" w:hAnsi="Times New Roman"/>
          <w:b/>
          <w:noProof/>
          <w:sz w:val="24"/>
          <w:szCs w:val="24"/>
        </w:rPr>
        <w:br w:type="page"/>
      </w:r>
    </w:p>
    <w:p w:rsidR="00550CEF" w:rsidRDefault="00550CEF" w:rsidP="00550CEF">
      <w:pPr>
        <w:spacing w:line="276" w:lineRule="auto"/>
        <w:outlineLvl w:val="0"/>
        <w:rPr>
          <w:rFonts w:ascii="Times New Roman" w:hAnsi="Times New Roman"/>
          <w:b/>
          <w:noProof/>
          <w:sz w:val="24"/>
          <w:szCs w:val="24"/>
        </w:rPr>
      </w:pPr>
      <w:r>
        <w:rPr>
          <w:rFonts w:ascii="Times New Roman" w:hAnsi="Times New Roman"/>
          <w:b/>
          <w:noProof/>
          <w:sz w:val="24"/>
          <w:szCs w:val="24"/>
        </w:rPr>
        <w:lastRenderedPageBreak/>
        <w:t>Supplementary figures</w:t>
      </w:r>
    </w:p>
    <w:p w:rsidR="00550CEF" w:rsidRDefault="00550CEF" w:rsidP="00550CEF">
      <w:pPr>
        <w:spacing w:line="276" w:lineRule="auto"/>
        <w:rPr>
          <w:rFonts w:ascii="Times New Roman" w:hAnsi="Times New Roman"/>
          <w:b/>
          <w:noProof/>
          <w:sz w:val="24"/>
          <w:szCs w:val="24"/>
        </w:rPr>
      </w:pPr>
    </w:p>
    <w:p w:rsidR="00550CEF" w:rsidRDefault="00550CEF" w:rsidP="00550CEF">
      <w:pPr>
        <w:spacing w:line="276" w:lineRule="auto"/>
        <w:rPr>
          <w:rFonts w:ascii="Times New Roman" w:hAnsi="Times New Roman"/>
          <w:b/>
          <w:noProof/>
          <w:sz w:val="24"/>
          <w:szCs w:val="24"/>
        </w:rPr>
      </w:pPr>
      <w:r>
        <w:rPr>
          <w:rFonts w:ascii="Times New Roman" w:hAnsi="Times New Roman"/>
          <w:b/>
          <w:noProof/>
          <w:sz w:val="24"/>
          <w:szCs w:val="24"/>
          <w:lang w:eastAsia="en-US"/>
        </w:rPr>
        <w:drawing>
          <wp:inline distT="0" distB="0" distL="0" distR="0" wp14:anchorId="05BDE4E0" wp14:editId="61020B5D">
            <wp:extent cx="5529580" cy="2170430"/>
            <wp:effectExtent l="0" t="0" r="0" b="12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529580" cy="2170430"/>
                    </a:xfrm>
                    <a:prstGeom prst="rect">
                      <a:avLst/>
                    </a:prstGeom>
                    <a:noFill/>
                  </pic:spPr>
                </pic:pic>
              </a:graphicData>
            </a:graphic>
          </wp:inline>
        </w:drawing>
      </w:r>
    </w:p>
    <w:p w:rsidR="00550CEF" w:rsidRPr="00913CFB" w:rsidRDefault="00550CEF" w:rsidP="00550CEF">
      <w:pPr>
        <w:spacing w:before="120" w:line="276" w:lineRule="auto"/>
        <w:outlineLvl w:val="1"/>
        <w:rPr>
          <w:rFonts w:ascii="Times New Roman" w:hAnsi="Times New Roman"/>
          <w:b/>
          <w:bCs/>
          <w:noProof/>
          <w:sz w:val="24"/>
          <w:szCs w:val="24"/>
        </w:rPr>
      </w:pPr>
      <w:r w:rsidRPr="00913CFB">
        <w:rPr>
          <w:rFonts w:ascii="Times New Roman" w:hAnsi="Times New Roman"/>
          <w:b/>
          <w:bCs/>
          <w:noProof/>
          <w:sz w:val="24"/>
          <w:szCs w:val="24"/>
        </w:rPr>
        <w:t>Supplementary Fig. 1 Cellomics analysis of O-GlcNAcylation levels in osteoclasts at different stages of maturation.</w:t>
      </w:r>
    </w:p>
    <w:p w:rsidR="00550CEF" w:rsidRPr="00913CFB" w:rsidRDefault="00550CEF" w:rsidP="00550CEF">
      <w:pPr>
        <w:spacing w:line="276" w:lineRule="auto"/>
        <w:rPr>
          <w:rFonts w:ascii="Times New Roman" w:hAnsi="Times New Roman"/>
          <w:noProof/>
          <w:sz w:val="24"/>
          <w:szCs w:val="24"/>
        </w:rPr>
      </w:pPr>
      <w:r w:rsidRPr="00913CFB">
        <w:rPr>
          <w:rFonts w:ascii="Times New Roman" w:hAnsi="Times New Roman"/>
          <w:noProof/>
          <w:sz w:val="24"/>
          <w:szCs w:val="24"/>
        </w:rPr>
        <w:t xml:space="preserve">Representative images of high-content imaging and cellomics analysis for O-GlcNAcylation levels in RANKL and TNFα treated osteoclasts at immature and mature stages (n = 30019 cells in total). Horizontal scale bar represents 50 µm. Statistical significance was determined by two-way ANOVA. </w:t>
      </w:r>
      <w:r w:rsidRPr="00913CFB">
        <w:rPr>
          <w:rFonts w:ascii="Times New Roman" w:hAnsi="Times New Roman"/>
          <w:i/>
          <w:noProof/>
          <w:sz w:val="24"/>
          <w:szCs w:val="24"/>
        </w:rPr>
        <w:t>P</w:t>
      </w:r>
      <w:r w:rsidRPr="00913CFB">
        <w:rPr>
          <w:rFonts w:ascii="Times New Roman" w:hAnsi="Times New Roman"/>
          <w:noProof/>
          <w:sz w:val="24"/>
          <w:szCs w:val="24"/>
        </w:rPr>
        <w:t>-values are shown in the graphs. OC, osteoclast.</w:t>
      </w:r>
    </w:p>
    <w:p w:rsidR="00550CEF" w:rsidRPr="00913CFB" w:rsidRDefault="00550CEF" w:rsidP="00550CEF">
      <w:pPr>
        <w:spacing w:line="276" w:lineRule="auto"/>
        <w:rPr>
          <w:rFonts w:ascii="Times New Roman" w:hAnsi="Times New Roman"/>
          <w:noProof/>
          <w:sz w:val="24"/>
          <w:szCs w:val="24"/>
        </w:rPr>
      </w:pPr>
    </w:p>
    <w:p w:rsidR="00550CEF" w:rsidRDefault="00550CEF" w:rsidP="00550CEF">
      <w:pPr>
        <w:rPr>
          <w:rFonts w:ascii="Times New Roman" w:hAnsi="Times New Roman"/>
          <w:noProof/>
          <w:sz w:val="24"/>
          <w:szCs w:val="24"/>
        </w:rPr>
      </w:pPr>
      <w:r>
        <w:rPr>
          <w:rFonts w:ascii="Times New Roman" w:hAnsi="Times New Roman"/>
          <w:noProof/>
          <w:sz w:val="24"/>
          <w:szCs w:val="24"/>
        </w:rPr>
        <w:br w:type="page"/>
      </w:r>
    </w:p>
    <w:p w:rsidR="00550CEF" w:rsidRPr="00644F87" w:rsidRDefault="00550CEF" w:rsidP="00550CEF">
      <w:pPr>
        <w:rPr>
          <w:rFonts w:ascii="Times New Roman" w:hAnsi="Times New Roman"/>
          <w:b/>
          <w:noProof/>
          <w:sz w:val="24"/>
          <w:szCs w:val="24"/>
          <w:lang w:eastAsia="en-US"/>
        </w:rPr>
      </w:pPr>
    </w:p>
    <w:p w:rsidR="00550CEF" w:rsidRPr="00600913" w:rsidRDefault="00550CEF" w:rsidP="00550CEF">
      <w:pPr>
        <w:spacing w:before="120" w:line="480" w:lineRule="auto"/>
        <w:rPr>
          <w:rFonts w:ascii="Times New Roman" w:hAnsi="Times New Roman"/>
          <w:b/>
          <w:noProof/>
          <w:sz w:val="24"/>
          <w:szCs w:val="24"/>
        </w:rPr>
      </w:pPr>
      <w:r>
        <w:rPr>
          <w:rFonts w:ascii="Times New Roman" w:hAnsi="Times New Roman"/>
          <w:b/>
          <w:noProof/>
          <w:sz w:val="24"/>
          <w:szCs w:val="24"/>
          <w:lang w:eastAsia="en-US"/>
        </w:rPr>
        <w:drawing>
          <wp:inline distT="0" distB="0" distL="0" distR="0" wp14:anchorId="267ACC26" wp14:editId="4FF68DB8">
            <wp:extent cx="5989320" cy="6848856"/>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89320" cy="6848856"/>
                    </a:xfrm>
                    <a:prstGeom prst="rect">
                      <a:avLst/>
                    </a:prstGeom>
                    <a:noFill/>
                  </pic:spPr>
                </pic:pic>
              </a:graphicData>
            </a:graphic>
          </wp:inline>
        </w:drawing>
      </w:r>
    </w:p>
    <w:p w:rsidR="00550CEF" w:rsidRPr="00913CFB" w:rsidRDefault="00550CEF" w:rsidP="00550CEF">
      <w:pPr>
        <w:spacing w:before="120" w:line="276" w:lineRule="auto"/>
        <w:outlineLvl w:val="1"/>
        <w:rPr>
          <w:rFonts w:ascii="Times New Roman" w:hAnsi="Times New Roman"/>
          <w:b/>
          <w:bCs/>
          <w:noProof/>
          <w:sz w:val="24"/>
          <w:szCs w:val="24"/>
        </w:rPr>
      </w:pPr>
      <w:r w:rsidRPr="00913CFB">
        <w:rPr>
          <w:rFonts w:ascii="Times New Roman" w:hAnsi="Times New Roman"/>
          <w:b/>
          <w:bCs/>
          <w:noProof/>
          <w:sz w:val="24"/>
          <w:szCs w:val="24"/>
        </w:rPr>
        <w:t>Supplementary Fig. 2 Knockout of OGT knockout inhibits osteoclastogenesis.</w:t>
      </w:r>
    </w:p>
    <w:p w:rsidR="00550CEF" w:rsidRPr="00072FA5" w:rsidRDefault="00550CEF" w:rsidP="00550CEF">
      <w:pPr>
        <w:spacing w:before="120" w:line="276" w:lineRule="auto"/>
        <w:rPr>
          <w:rFonts w:ascii="Times New Roman" w:hAnsi="Times New Roman"/>
          <w:noProof/>
          <w:sz w:val="24"/>
          <w:szCs w:val="24"/>
        </w:rPr>
      </w:pPr>
      <w:r w:rsidRPr="00913CFB">
        <w:rPr>
          <w:rFonts w:ascii="Times New Roman" w:hAnsi="Times New Roman"/>
          <w:noProof/>
          <w:sz w:val="24"/>
          <w:szCs w:val="24"/>
        </w:rPr>
        <w:t xml:space="preserve"> (</w:t>
      </w:r>
      <w:r w:rsidRPr="00913CFB">
        <w:rPr>
          <w:rFonts w:ascii="Times New Roman" w:hAnsi="Times New Roman"/>
          <w:b/>
          <w:bCs/>
          <w:noProof/>
          <w:sz w:val="24"/>
          <w:szCs w:val="24"/>
        </w:rPr>
        <w:t>A and B</w:t>
      </w:r>
      <w:r w:rsidRPr="00913CFB">
        <w:rPr>
          <w:rFonts w:ascii="Times New Roman" w:hAnsi="Times New Roman"/>
          <w:noProof/>
          <w:sz w:val="24"/>
          <w:szCs w:val="24"/>
        </w:rPr>
        <w:t>) Western blot analysis (</w:t>
      </w:r>
      <w:r w:rsidRPr="00913CFB">
        <w:rPr>
          <w:rFonts w:ascii="Times New Roman" w:hAnsi="Times New Roman"/>
          <w:b/>
          <w:bCs/>
          <w:noProof/>
          <w:sz w:val="24"/>
          <w:szCs w:val="24"/>
        </w:rPr>
        <w:t>A</w:t>
      </w:r>
      <w:r w:rsidRPr="00913CFB">
        <w:rPr>
          <w:rFonts w:ascii="Times New Roman" w:hAnsi="Times New Roman"/>
          <w:noProof/>
          <w:sz w:val="24"/>
          <w:szCs w:val="24"/>
        </w:rPr>
        <w:t>), representative images of high-content imaging, and cellomics analysis (</w:t>
      </w:r>
      <w:r w:rsidRPr="00913CFB">
        <w:rPr>
          <w:rFonts w:ascii="Times New Roman" w:hAnsi="Times New Roman"/>
          <w:b/>
          <w:bCs/>
          <w:noProof/>
          <w:sz w:val="24"/>
          <w:szCs w:val="24"/>
        </w:rPr>
        <w:t>B</w:t>
      </w:r>
      <w:r w:rsidRPr="00913CFB">
        <w:rPr>
          <w:rFonts w:ascii="Times New Roman" w:hAnsi="Times New Roman"/>
          <w:noProof/>
          <w:sz w:val="24"/>
          <w:szCs w:val="24"/>
        </w:rPr>
        <w:t>) of O-GlcNAcylation</w:t>
      </w:r>
      <w:r w:rsidRPr="00072FA5">
        <w:rPr>
          <w:rFonts w:ascii="Times New Roman" w:hAnsi="Times New Roman"/>
          <w:noProof/>
          <w:sz w:val="24"/>
          <w:szCs w:val="24"/>
        </w:rPr>
        <w:t xml:space="preserve"> during </w:t>
      </w:r>
      <w:r w:rsidRPr="00072FA5">
        <w:rPr>
          <w:rFonts w:ascii="Times New Roman" w:hAnsi="Times New Roman"/>
          <w:i/>
          <w:iCs/>
          <w:noProof/>
          <w:sz w:val="24"/>
          <w:szCs w:val="24"/>
        </w:rPr>
        <w:t>in vitro</w:t>
      </w:r>
      <w:r w:rsidRPr="00072FA5">
        <w:rPr>
          <w:rFonts w:ascii="Times New Roman" w:hAnsi="Times New Roman"/>
          <w:noProof/>
          <w:sz w:val="24"/>
          <w:szCs w:val="24"/>
        </w:rPr>
        <w:t xml:space="preserve"> osteoclastogenesis using bone marrow cells from </w:t>
      </w:r>
      <w:r w:rsidRPr="00072FA5">
        <w:rPr>
          <w:rFonts w:ascii="Times New Roman" w:hAnsi="Times New Roman"/>
          <w:i/>
          <w:iCs/>
          <w:noProof/>
          <w:sz w:val="24"/>
          <w:szCs w:val="24"/>
        </w:rPr>
        <w:t>Ogt</w:t>
      </w:r>
      <w:r w:rsidRPr="00072FA5">
        <w:rPr>
          <w:rFonts w:ascii="Times New Roman" w:hAnsi="Times New Roman"/>
          <w:i/>
          <w:iCs/>
          <w:noProof/>
          <w:sz w:val="24"/>
          <w:szCs w:val="24"/>
          <w:vertAlign w:val="superscript"/>
        </w:rPr>
        <w:t>∆LysM</w:t>
      </w:r>
      <w:r w:rsidRPr="00072FA5">
        <w:rPr>
          <w:rFonts w:ascii="Times New Roman" w:hAnsi="Times New Roman"/>
          <w:noProof/>
          <w:sz w:val="24"/>
          <w:szCs w:val="24"/>
        </w:rPr>
        <w:t xml:space="preserve"> mice and control littermates (n = 5 per group for Western blot; n = 30914 cells in total). (</w:t>
      </w:r>
      <w:r w:rsidRPr="00072FA5">
        <w:rPr>
          <w:rFonts w:ascii="Times New Roman" w:hAnsi="Times New Roman"/>
          <w:b/>
          <w:bCs/>
          <w:noProof/>
          <w:sz w:val="24"/>
          <w:szCs w:val="24"/>
        </w:rPr>
        <w:t>C</w:t>
      </w:r>
      <w:r w:rsidRPr="00072FA5">
        <w:rPr>
          <w:rFonts w:ascii="Times New Roman" w:hAnsi="Times New Roman"/>
          <w:noProof/>
          <w:sz w:val="24"/>
          <w:szCs w:val="24"/>
        </w:rPr>
        <w:t>) mRNA levels of osteoclast-related genes (n = 4 per group). (</w:t>
      </w:r>
      <w:r w:rsidRPr="00072FA5">
        <w:rPr>
          <w:rFonts w:ascii="Times New Roman" w:hAnsi="Times New Roman"/>
          <w:b/>
          <w:bCs/>
          <w:noProof/>
          <w:sz w:val="24"/>
          <w:szCs w:val="24"/>
        </w:rPr>
        <w:t>D</w:t>
      </w:r>
      <w:r w:rsidRPr="00072FA5">
        <w:rPr>
          <w:rFonts w:ascii="Times New Roman" w:hAnsi="Times New Roman"/>
          <w:noProof/>
          <w:sz w:val="24"/>
          <w:szCs w:val="24"/>
        </w:rPr>
        <w:t>) Representative images of high-content imaging and cellomics analysis of the proportions of immature and mature OC, OC fusion index, and TRAP enzyme activity (n = 204782 cells in total). (</w:t>
      </w:r>
      <w:r w:rsidRPr="00072FA5">
        <w:rPr>
          <w:rFonts w:ascii="Times New Roman" w:hAnsi="Times New Roman"/>
          <w:b/>
          <w:bCs/>
          <w:noProof/>
          <w:sz w:val="24"/>
          <w:szCs w:val="24"/>
        </w:rPr>
        <w:t>E</w:t>
      </w:r>
      <w:r w:rsidRPr="00072FA5">
        <w:rPr>
          <w:rFonts w:ascii="Times New Roman" w:hAnsi="Times New Roman"/>
          <w:noProof/>
          <w:sz w:val="24"/>
          <w:szCs w:val="24"/>
        </w:rPr>
        <w:t>) Proliferation assay (n = 9 per group). (</w:t>
      </w:r>
      <w:r w:rsidRPr="00072FA5">
        <w:rPr>
          <w:rFonts w:ascii="Times New Roman" w:hAnsi="Times New Roman"/>
          <w:b/>
          <w:bCs/>
          <w:noProof/>
          <w:sz w:val="24"/>
          <w:szCs w:val="24"/>
        </w:rPr>
        <w:t>F</w:t>
      </w:r>
      <w:r w:rsidRPr="00072FA5">
        <w:rPr>
          <w:rFonts w:ascii="Times New Roman" w:hAnsi="Times New Roman"/>
          <w:noProof/>
          <w:sz w:val="24"/>
          <w:szCs w:val="24"/>
        </w:rPr>
        <w:t xml:space="preserve">) </w:t>
      </w:r>
      <w:r w:rsidRPr="00072FA5">
        <w:rPr>
          <w:rFonts w:ascii="Times New Roman" w:hAnsi="Times New Roman"/>
          <w:i/>
          <w:iCs/>
          <w:noProof/>
          <w:sz w:val="24"/>
          <w:szCs w:val="24"/>
        </w:rPr>
        <w:t>in vitro</w:t>
      </w:r>
      <w:r w:rsidRPr="00072FA5">
        <w:rPr>
          <w:rFonts w:ascii="Times New Roman" w:hAnsi="Times New Roman"/>
          <w:noProof/>
          <w:sz w:val="24"/>
          <w:szCs w:val="24"/>
        </w:rPr>
        <w:t xml:space="preserve"> bone resorption assay using bone marrow cells from </w:t>
      </w:r>
      <w:r w:rsidRPr="00072FA5">
        <w:rPr>
          <w:rFonts w:ascii="Times New Roman" w:hAnsi="Times New Roman"/>
          <w:i/>
          <w:iCs/>
          <w:noProof/>
          <w:sz w:val="24"/>
          <w:szCs w:val="24"/>
        </w:rPr>
        <w:t>Ogt</w:t>
      </w:r>
      <w:r w:rsidRPr="00072FA5">
        <w:rPr>
          <w:rFonts w:ascii="Times New Roman" w:hAnsi="Times New Roman"/>
          <w:i/>
          <w:iCs/>
          <w:noProof/>
          <w:sz w:val="24"/>
          <w:szCs w:val="24"/>
          <w:vertAlign w:val="superscript"/>
        </w:rPr>
        <w:t>∆LysM</w:t>
      </w:r>
      <w:r w:rsidRPr="00072FA5">
        <w:rPr>
          <w:rFonts w:ascii="Times New Roman" w:hAnsi="Times New Roman"/>
          <w:noProof/>
          <w:sz w:val="24"/>
          <w:szCs w:val="24"/>
        </w:rPr>
        <w:t xml:space="preserve"> mice and control littermates (n = 5 per group).</w:t>
      </w:r>
    </w:p>
    <w:p w:rsidR="00550CEF"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All bar graphs are shown as median  ± IQR. Horizontal scale bars are represented as 50 µm in IF images, 100 µm in bone resorption assay. Statistical significance was determined by Mann-Witney U-test (</w:t>
      </w:r>
      <w:r w:rsidRPr="00072FA5">
        <w:rPr>
          <w:rFonts w:ascii="Times New Roman" w:hAnsi="Times New Roman"/>
          <w:b/>
          <w:bCs/>
          <w:noProof/>
          <w:sz w:val="24"/>
          <w:szCs w:val="24"/>
        </w:rPr>
        <w:t>A and B</w:t>
      </w:r>
      <w:r w:rsidRPr="00072FA5">
        <w:rPr>
          <w:rFonts w:ascii="Times New Roman" w:hAnsi="Times New Roman"/>
          <w:noProof/>
          <w:sz w:val="24"/>
          <w:szCs w:val="24"/>
        </w:rPr>
        <w:t>) or two-way ANOVA (</w:t>
      </w:r>
      <w:r w:rsidRPr="00072FA5">
        <w:rPr>
          <w:rFonts w:ascii="Times New Roman" w:hAnsi="Times New Roman"/>
          <w:b/>
          <w:bCs/>
          <w:noProof/>
          <w:sz w:val="24"/>
          <w:szCs w:val="24"/>
        </w:rPr>
        <w:t>C to F</w:t>
      </w:r>
      <w:r w:rsidRPr="00072FA5">
        <w:rPr>
          <w:rFonts w:ascii="Times New Roman" w:hAnsi="Times New Roman"/>
          <w:noProof/>
          <w:sz w:val="24"/>
          <w:szCs w:val="24"/>
        </w:rPr>
        <w:t xml:space="preserve">). </w:t>
      </w:r>
      <w:r w:rsidRPr="00072FA5">
        <w:rPr>
          <w:rFonts w:ascii="Times New Roman" w:hAnsi="Times New Roman"/>
          <w:i/>
          <w:iCs/>
          <w:noProof/>
          <w:sz w:val="24"/>
          <w:szCs w:val="24"/>
        </w:rPr>
        <w:t>P</w:t>
      </w:r>
      <w:r w:rsidRPr="00072FA5">
        <w:rPr>
          <w:rFonts w:ascii="Times New Roman" w:hAnsi="Times New Roman"/>
          <w:noProof/>
          <w:sz w:val="24"/>
          <w:szCs w:val="24"/>
        </w:rPr>
        <w:t xml:space="preserve">-values are shown in the graphs. AUC, area under the curve; MFI, mean fluorescence intensity, OC, osteoclast. </w:t>
      </w:r>
    </w:p>
    <w:p w:rsidR="00550CEF" w:rsidRDefault="00550CEF" w:rsidP="00550CEF">
      <w:pPr>
        <w:rPr>
          <w:rFonts w:ascii="Times New Roman" w:hAnsi="Times New Roman"/>
          <w:noProof/>
          <w:sz w:val="24"/>
          <w:szCs w:val="24"/>
        </w:rPr>
      </w:pPr>
      <w:r>
        <w:rPr>
          <w:rFonts w:ascii="Times New Roman" w:hAnsi="Times New Roman"/>
          <w:noProof/>
          <w:sz w:val="24"/>
          <w:szCs w:val="24"/>
        </w:rPr>
        <w:br w:type="page"/>
      </w:r>
    </w:p>
    <w:p w:rsidR="00550CEF" w:rsidRPr="00AB7256" w:rsidRDefault="00550CEF" w:rsidP="00550CEF">
      <w:pPr>
        <w:spacing w:line="276" w:lineRule="auto"/>
        <w:rPr>
          <w:rFonts w:ascii="Times New Roman" w:hAnsi="Times New Roman"/>
          <w:noProof/>
          <w:sz w:val="24"/>
          <w:szCs w:val="24"/>
        </w:rPr>
      </w:pPr>
      <w:r>
        <w:rPr>
          <w:rFonts w:ascii="Times New Roman" w:hAnsi="Times New Roman"/>
          <w:noProof/>
          <w:sz w:val="24"/>
          <w:szCs w:val="24"/>
          <w:lang w:eastAsia="en-US"/>
        </w:rPr>
        <w:drawing>
          <wp:inline distT="0" distB="0" distL="0" distR="0" wp14:anchorId="40A7A35C" wp14:editId="7A32E040">
            <wp:extent cx="5989320" cy="3514901"/>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89320" cy="3514901"/>
                    </a:xfrm>
                    <a:prstGeom prst="rect">
                      <a:avLst/>
                    </a:prstGeom>
                    <a:noFill/>
                  </pic:spPr>
                </pic:pic>
              </a:graphicData>
            </a:graphic>
          </wp:inline>
        </w:drawing>
      </w:r>
    </w:p>
    <w:p w:rsidR="00550CEF" w:rsidRPr="00913CFB" w:rsidRDefault="00550CEF" w:rsidP="00550CEF">
      <w:pPr>
        <w:spacing w:before="120" w:line="276" w:lineRule="auto"/>
        <w:outlineLvl w:val="1"/>
        <w:rPr>
          <w:rFonts w:ascii="Times New Roman" w:hAnsi="Times New Roman"/>
          <w:b/>
          <w:bCs/>
          <w:noProof/>
          <w:sz w:val="24"/>
          <w:szCs w:val="24"/>
        </w:rPr>
      </w:pPr>
      <w:r w:rsidRPr="00913CFB">
        <w:rPr>
          <w:rFonts w:ascii="Times New Roman" w:hAnsi="Times New Roman"/>
          <w:b/>
          <w:bCs/>
          <w:noProof/>
          <w:sz w:val="24"/>
          <w:szCs w:val="24"/>
        </w:rPr>
        <w:t>Supplementary Fig. 3 Early-stage inhibition of OGT, but not OGA, suppresses osteoclast formation.</w:t>
      </w:r>
    </w:p>
    <w:p w:rsidR="00550CEF" w:rsidRPr="00913CFB" w:rsidRDefault="00550CEF" w:rsidP="00550CEF">
      <w:pPr>
        <w:rPr>
          <w:rFonts w:ascii="Times New Roman" w:hAnsi="Times New Roman"/>
          <w:noProof/>
          <w:sz w:val="24"/>
          <w:szCs w:val="24"/>
        </w:rPr>
      </w:pPr>
      <w:r w:rsidRPr="00913CFB">
        <w:rPr>
          <w:rFonts w:ascii="Times New Roman" w:hAnsi="Times New Roman"/>
          <w:b/>
          <w:bCs/>
          <w:noProof/>
          <w:sz w:val="24"/>
          <w:szCs w:val="24"/>
        </w:rPr>
        <w:t>(</w:t>
      </w:r>
      <w:r w:rsidRPr="00913CFB">
        <w:rPr>
          <w:rFonts w:ascii="Times New Roman" w:hAnsi="Times New Roman"/>
          <w:b/>
          <w:noProof/>
          <w:sz w:val="24"/>
          <w:szCs w:val="24"/>
        </w:rPr>
        <w:t>A</w:t>
      </w:r>
      <w:r w:rsidRPr="00913CFB">
        <w:rPr>
          <w:rFonts w:ascii="Times New Roman" w:hAnsi="Times New Roman"/>
          <w:noProof/>
          <w:sz w:val="24"/>
          <w:szCs w:val="24"/>
        </w:rPr>
        <w:t xml:space="preserve">) Schematic diagram of inhibitor treatment for early-stage (Day0 to Day2) inhibition. </w:t>
      </w:r>
      <w:r w:rsidRPr="00913CFB">
        <w:rPr>
          <w:rFonts w:ascii="Times New Roman" w:hAnsi="Times New Roman"/>
          <w:sz w:val="24"/>
          <w:szCs w:val="24"/>
        </w:rPr>
        <w:t xml:space="preserve">The diagram was created by adapting images from </w:t>
      </w:r>
      <w:proofErr w:type="spellStart"/>
      <w:r w:rsidRPr="00913CFB">
        <w:rPr>
          <w:rFonts w:ascii="Times New Roman" w:hAnsi="Times New Roman"/>
          <w:sz w:val="24"/>
          <w:szCs w:val="24"/>
        </w:rPr>
        <w:t>Servier</w:t>
      </w:r>
      <w:proofErr w:type="spellEnd"/>
      <w:r w:rsidRPr="00913CFB">
        <w:rPr>
          <w:rFonts w:ascii="Times New Roman" w:hAnsi="Times New Roman"/>
          <w:sz w:val="24"/>
          <w:szCs w:val="24"/>
        </w:rPr>
        <w:t xml:space="preserve"> Medical Art (</w:t>
      </w:r>
      <w:hyperlink r:id="rId7" w:history="1">
        <w:r w:rsidRPr="00913CFB">
          <w:rPr>
            <w:rStyle w:val="Hyperlink"/>
            <w:rFonts w:ascii="Times New Roman" w:hAnsi="Times New Roman"/>
            <w:sz w:val="24"/>
            <w:szCs w:val="24"/>
          </w:rPr>
          <w:t>http://smart.servier.com/</w:t>
        </w:r>
      </w:hyperlink>
      <w:r w:rsidRPr="00913CFB">
        <w:rPr>
          <w:rFonts w:ascii="Times New Roman" w:hAnsi="Times New Roman"/>
          <w:sz w:val="24"/>
          <w:szCs w:val="24"/>
        </w:rPr>
        <w:t>) under CC BY 3.0 (</w:t>
      </w:r>
      <w:hyperlink r:id="rId8" w:history="1">
        <w:r w:rsidRPr="00913CFB">
          <w:rPr>
            <w:rStyle w:val="Hyperlink"/>
            <w:rFonts w:ascii="Times New Roman" w:hAnsi="Times New Roman"/>
            <w:sz w:val="24"/>
            <w:szCs w:val="24"/>
          </w:rPr>
          <w:t>https://creativecommons.org/licenses/by/3.0/</w:t>
        </w:r>
      </w:hyperlink>
      <w:r w:rsidRPr="00913CFB">
        <w:rPr>
          <w:rFonts w:ascii="Times New Roman" w:hAnsi="Times New Roman"/>
          <w:sz w:val="24"/>
          <w:szCs w:val="24"/>
        </w:rPr>
        <w:t xml:space="preserve">) license. </w:t>
      </w:r>
      <w:r w:rsidRPr="00913CFB">
        <w:rPr>
          <w:rFonts w:ascii="Times New Roman" w:hAnsi="Times New Roman"/>
          <w:noProof/>
          <w:sz w:val="24"/>
          <w:szCs w:val="24"/>
        </w:rPr>
        <w:t>(</w:t>
      </w:r>
      <w:r w:rsidRPr="00913CFB">
        <w:rPr>
          <w:rFonts w:ascii="Times New Roman" w:hAnsi="Times New Roman"/>
          <w:b/>
          <w:noProof/>
          <w:sz w:val="24"/>
          <w:szCs w:val="24"/>
        </w:rPr>
        <w:t>B</w:t>
      </w:r>
      <w:r w:rsidRPr="00913CFB">
        <w:rPr>
          <w:rFonts w:ascii="Times New Roman" w:hAnsi="Times New Roman"/>
          <w:noProof/>
          <w:sz w:val="24"/>
          <w:szCs w:val="24"/>
        </w:rPr>
        <w:t xml:space="preserve"> </w:t>
      </w:r>
      <w:r w:rsidRPr="00913CFB">
        <w:rPr>
          <w:rFonts w:ascii="Times New Roman" w:hAnsi="Times New Roman"/>
          <w:b/>
          <w:noProof/>
          <w:sz w:val="24"/>
          <w:szCs w:val="24"/>
        </w:rPr>
        <w:t>and</w:t>
      </w:r>
      <w:r w:rsidRPr="00913CFB">
        <w:rPr>
          <w:rFonts w:ascii="Times New Roman" w:hAnsi="Times New Roman"/>
          <w:noProof/>
          <w:sz w:val="24"/>
          <w:szCs w:val="24"/>
        </w:rPr>
        <w:t xml:space="preserve"> </w:t>
      </w:r>
      <w:r w:rsidRPr="00913CFB">
        <w:rPr>
          <w:rFonts w:ascii="Times New Roman" w:hAnsi="Times New Roman"/>
          <w:b/>
          <w:noProof/>
          <w:sz w:val="24"/>
          <w:szCs w:val="24"/>
        </w:rPr>
        <w:t>C</w:t>
      </w:r>
      <w:r w:rsidRPr="00913CFB">
        <w:rPr>
          <w:rFonts w:ascii="Times New Roman" w:hAnsi="Times New Roman"/>
          <w:noProof/>
          <w:sz w:val="24"/>
          <w:szCs w:val="24"/>
        </w:rPr>
        <w:t>) Representative images of high-content imaging (</w:t>
      </w:r>
      <w:r w:rsidRPr="00913CFB">
        <w:rPr>
          <w:rFonts w:ascii="Times New Roman" w:hAnsi="Times New Roman"/>
          <w:b/>
          <w:noProof/>
          <w:sz w:val="24"/>
          <w:szCs w:val="24"/>
        </w:rPr>
        <w:t>B</w:t>
      </w:r>
      <w:r w:rsidRPr="00913CFB">
        <w:rPr>
          <w:rFonts w:ascii="Times New Roman" w:hAnsi="Times New Roman"/>
          <w:noProof/>
          <w:sz w:val="24"/>
          <w:szCs w:val="24"/>
        </w:rPr>
        <w:t>) and cellomics analysis of proportions of immature and mature OC, OC fusion index, and TRAP enzyme activity (</w:t>
      </w:r>
      <w:r w:rsidRPr="00913CFB">
        <w:rPr>
          <w:rFonts w:ascii="Times New Roman" w:hAnsi="Times New Roman"/>
          <w:b/>
          <w:noProof/>
          <w:sz w:val="24"/>
          <w:szCs w:val="24"/>
        </w:rPr>
        <w:t>C</w:t>
      </w:r>
      <w:r w:rsidRPr="00913CFB">
        <w:rPr>
          <w:rFonts w:ascii="Times New Roman" w:hAnsi="Times New Roman"/>
          <w:noProof/>
          <w:sz w:val="24"/>
          <w:szCs w:val="24"/>
        </w:rPr>
        <w:t>) on osteoclasts treated with vehicle, OSMI-1, and Thiamet-G (TG) at early stages (Day0 to Day2; n = 33304 cells in total).</w:t>
      </w:r>
    </w:p>
    <w:p w:rsidR="00550CEF" w:rsidRPr="00072FA5" w:rsidRDefault="00550CEF" w:rsidP="00550CEF">
      <w:pPr>
        <w:spacing w:before="120" w:line="276" w:lineRule="auto"/>
        <w:rPr>
          <w:rFonts w:ascii="Times New Roman" w:hAnsi="Times New Roman"/>
          <w:noProof/>
          <w:sz w:val="24"/>
          <w:szCs w:val="24"/>
        </w:rPr>
      </w:pPr>
      <w:r w:rsidRPr="00913CFB">
        <w:rPr>
          <w:rFonts w:ascii="Times New Roman" w:hAnsi="Times New Roman"/>
          <w:noProof/>
          <w:sz w:val="24"/>
          <w:szCs w:val="24"/>
        </w:rPr>
        <w:t xml:space="preserve">All bar graphs are shown as median  ± IQR. Horizontal scale bars are represented as 50 Statistical significance was determined by one-way ANOVA. </w:t>
      </w:r>
      <w:r w:rsidRPr="00913CFB">
        <w:rPr>
          <w:rFonts w:ascii="Times New Roman" w:hAnsi="Times New Roman"/>
          <w:i/>
          <w:iCs/>
          <w:noProof/>
          <w:sz w:val="24"/>
          <w:szCs w:val="24"/>
        </w:rPr>
        <w:t>P</w:t>
      </w:r>
      <w:r w:rsidRPr="00913CFB">
        <w:rPr>
          <w:rFonts w:ascii="Times New Roman" w:hAnsi="Times New Roman"/>
          <w:noProof/>
          <w:sz w:val="24"/>
          <w:szCs w:val="24"/>
        </w:rPr>
        <w:t>-values are shown in the graphs. OC, osteoclast.</w:t>
      </w:r>
      <w:r w:rsidRPr="00072FA5">
        <w:rPr>
          <w:rFonts w:ascii="Times New Roman" w:hAnsi="Times New Roman"/>
          <w:noProof/>
          <w:sz w:val="24"/>
          <w:szCs w:val="24"/>
        </w:rPr>
        <w:t xml:space="preserve"> </w:t>
      </w:r>
      <w:r w:rsidRPr="00072FA5">
        <w:rPr>
          <w:rFonts w:ascii="Times New Roman" w:hAnsi="Times New Roman"/>
          <w:noProof/>
          <w:sz w:val="24"/>
          <w:szCs w:val="24"/>
        </w:rPr>
        <w:br w:type="page"/>
      </w:r>
    </w:p>
    <w:p w:rsidR="00550CEF" w:rsidRDefault="00550CEF" w:rsidP="00550CEF">
      <w:pPr>
        <w:spacing w:before="120" w:line="276" w:lineRule="auto"/>
        <w:rPr>
          <w:rFonts w:ascii="Times New Roman" w:hAnsi="Times New Roman"/>
          <w:noProof/>
          <w:sz w:val="24"/>
          <w:szCs w:val="24"/>
        </w:rPr>
      </w:pPr>
      <w:r>
        <w:rPr>
          <w:rFonts w:ascii="Times New Roman" w:hAnsi="Times New Roman"/>
          <w:noProof/>
          <w:sz w:val="24"/>
          <w:szCs w:val="24"/>
          <w:lang w:eastAsia="en-US"/>
        </w:rPr>
        <w:drawing>
          <wp:inline distT="0" distB="0" distL="0" distR="0" wp14:anchorId="0CD203AB" wp14:editId="6FE379E1">
            <wp:extent cx="5989320" cy="8028432"/>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89320" cy="8028432"/>
                    </a:xfrm>
                    <a:prstGeom prst="rect">
                      <a:avLst/>
                    </a:prstGeom>
                    <a:noFill/>
                  </pic:spPr>
                </pic:pic>
              </a:graphicData>
            </a:graphic>
          </wp:inline>
        </w:drawing>
      </w:r>
    </w:p>
    <w:p w:rsidR="00550CEF" w:rsidRPr="00072FA5" w:rsidRDefault="00550CEF" w:rsidP="00550CEF">
      <w:pPr>
        <w:spacing w:before="120" w:line="276" w:lineRule="auto"/>
        <w:outlineLvl w:val="1"/>
        <w:rPr>
          <w:rFonts w:ascii="Times New Roman" w:hAnsi="Times New Roman"/>
          <w:noProof/>
          <w:sz w:val="24"/>
          <w:szCs w:val="24"/>
        </w:rPr>
      </w:pPr>
      <w:r w:rsidRPr="00913CFB">
        <w:rPr>
          <w:rFonts w:ascii="Times New Roman" w:hAnsi="Times New Roman"/>
          <w:b/>
          <w:bCs/>
          <w:noProof/>
          <w:sz w:val="24"/>
          <w:szCs w:val="24"/>
        </w:rPr>
        <w:t>Supplementary Fig. 4 Knockout</w:t>
      </w:r>
      <w:r w:rsidRPr="00072FA5">
        <w:rPr>
          <w:rFonts w:ascii="Times New Roman" w:hAnsi="Times New Roman"/>
          <w:b/>
          <w:bCs/>
          <w:noProof/>
          <w:sz w:val="24"/>
          <w:szCs w:val="24"/>
        </w:rPr>
        <w:t xml:space="preserve"> of OGT ameliorates bone loss in human TNF</w:t>
      </w:r>
      <w:r>
        <w:rPr>
          <w:rFonts w:ascii="Times New Roman" w:hAnsi="Times New Roman"/>
          <w:b/>
          <w:bCs/>
          <w:noProof/>
          <w:sz w:val="24"/>
          <w:szCs w:val="24"/>
        </w:rPr>
        <w:t>α</w:t>
      </w:r>
      <w:r w:rsidRPr="00072FA5">
        <w:rPr>
          <w:rFonts w:ascii="Times New Roman" w:hAnsi="Times New Roman"/>
          <w:b/>
          <w:bCs/>
          <w:noProof/>
          <w:sz w:val="24"/>
          <w:szCs w:val="24"/>
        </w:rPr>
        <w:t xml:space="preserve"> transgene mice.</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w:t>
      </w:r>
      <w:r w:rsidRPr="00072FA5">
        <w:rPr>
          <w:rFonts w:ascii="Times New Roman" w:hAnsi="Times New Roman"/>
          <w:b/>
          <w:bCs/>
          <w:noProof/>
          <w:sz w:val="24"/>
          <w:szCs w:val="24"/>
        </w:rPr>
        <w:t>A</w:t>
      </w:r>
      <w:r w:rsidRPr="00072FA5">
        <w:rPr>
          <w:rFonts w:ascii="Times New Roman" w:hAnsi="Times New Roman"/>
          <w:noProof/>
          <w:sz w:val="24"/>
          <w:szCs w:val="24"/>
        </w:rPr>
        <w:t>) Grip strength and joint swelling in hTNF</w:t>
      </w:r>
      <w:r w:rsidRPr="00221ADE">
        <w:rPr>
          <w:rFonts w:ascii="Times New Roman" w:hAnsi="Times New Roman"/>
          <w:bCs/>
          <w:noProof/>
          <w:sz w:val="24"/>
          <w:szCs w:val="24"/>
        </w:rPr>
        <w:t>α</w:t>
      </w:r>
      <w:r w:rsidRPr="00072FA5">
        <w:rPr>
          <w:rFonts w:ascii="Times New Roman" w:hAnsi="Times New Roman"/>
          <w:b/>
          <w:bCs/>
          <w:noProof/>
          <w:sz w:val="24"/>
          <w:szCs w:val="24"/>
        </w:rPr>
        <w:t xml:space="preserve"> </w:t>
      </w:r>
      <w:r w:rsidRPr="00072FA5">
        <w:rPr>
          <w:rFonts w:ascii="Times New Roman" w:hAnsi="Times New Roman"/>
          <w:bCs/>
          <w:noProof/>
          <w:sz w:val="24"/>
          <w:szCs w:val="24"/>
        </w:rPr>
        <w:t>tg mice transplanted with bone marrow from</w:t>
      </w:r>
      <w:r w:rsidRPr="00072FA5">
        <w:rPr>
          <w:rFonts w:ascii="Times New Roman" w:hAnsi="Times New Roman"/>
          <w:i/>
          <w:iCs/>
          <w:noProof/>
          <w:sz w:val="24"/>
          <w:szCs w:val="24"/>
        </w:rPr>
        <w:t xml:space="preserve"> Ogt</w:t>
      </w:r>
      <w:r w:rsidRPr="00072FA5">
        <w:rPr>
          <w:rFonts w:ascii="Times New Roman" w:hAnsi="Times New Roman"/>
          <w:i/>
          <w:iCs/>
          <w:noProof/>
          <w:sz w:val="24"/>
          <w:szCs w:val="24"/>
          <w:vertAlign w:val="superscript"/>
        </w:rPr>
        <w:t>∆LysM</w:t>
      </w:r>
      <w:r w:rsidRPr="00072FA5">
        <w:rPr>
          <w:rFonts w:ascii="Times New Roman" w:hAnsi="Times New Roman"/>
          <w:noProof/>
          <w:sz w:val="24"/>
          <w:szCs w:val="24"/>
        </w:rPr>
        <w:t xml:space="preserve"> mice and control littermates. (</w:t>
      </w:r>
      <w:r w:rsidRPr="00072FA5">
        <w:rPr>
          <w:rFonts w:ascii="Times New Roman" w:hAnsi="Times New Roman"/>
          <w:b/>
          <w:bCs/>
          <w:noProof/>
          <w:sz w:val="24"/>
          <w:szCs w:val="24"/>
        </w:rPr>
        <w:t>B)</w:t>
      </w:r>
      <w:r w:rsidRPr="00072FA5">
        <w:rPr>
          <w:rFonts w:ascii="Times New Roman" w:hAnsi="Times New Roman"/>
          <w:noProof/>
          <w:sz w:val="24"/>
          <w:szCs w:val="24"/>
        </w:rPr>
        <w:t xml:space="preserve"> Images and quantification of microcomputed tomography scans of bone tissue and analysis of the tibial bone structure. (</w:t>
      </w:r>
      <w:r w:rsidRPr="00072FA5">
        <w:rPr>
          <w:rFonts w:ascii="Times New Roman" w:hAnsi="Times New Roman"/>
          <w:b/>
          <w:bCs/>
          <w:noProof/>
          <w:sz w:val="24"/>
          <w:szCs w:val="24"/>
        </w:rPr>
        <w:t>C</w:t>
      </w:r>
      <w:r w:rsidRPr="00072FA5">
        <w:rPr>
          <w:rFonts w:ascii="Times New Roman" w:hAnsi="Times New Roman"/>
          <w:noProof/>
          <w:sz w:val="24"/>
          <w:szCs w:val="24"/>
        </w:rPr>
        <w:t>) Representative histological and cofocal images of the tarsus with semi-automated, blinded quantification of H&amp;E staining, TRAP staining, and O-GlcNAcylation. (n ≥ 5 for all groups)</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All results are presented as median  ± IQR. Horizontal scale bars are represented as 50 µm in IF images, 100 µm in histological staining. Statistical significance was determined by two-way ANOVA (</w:t>
      </w:r>
      <w:r w:rsidRPr="00072FA5">
        <w:rPr>
          <w:rFonts w:ascii="Times New Roman" w:hAnsi="Times New Roman"/>
          <w:b/>
          <w:noProof/>
          <w:sz w:val="24"/>
          <w:szCs w:val="24"/>
        </w:rPr>
        <w:t>A and C</w:t>
      </w:r>
      <w:r w:rsidRPr="00072FA5">
        <w:rPr>
          <w:rFonts w:ascii="Times New Roman" w:hAnsi="Times New Roman"/>
          <w:noProof/>
          <w:sz w:val="24"/>
          <w:szCs w:val="24"/>
        </w:rPr>
        <w:t>) or Mann-Whitney U-test (</w:t>
      </w:r>
      <w:r w:rsidRPr="00072FA5">
        <w:rPr>
          <w:rFonts w:ascii="Times New Roman" w:hAnsi="Times New Roman"/>
          <w:b/>
          <w:noProof/>
          <w:sz w:val="24"/>
          <w:szCs w:val="24"/>
        </w:rPr>
        <w:t>B)</w:t>
      </w:r>
      <w:r w:rsidRPr="00072FA5">
        <w:rPr>
          <w:rFonts w:ascii="Times New Roman" w:hAnsi="Times New Roman"/>
          <w:noProof/>
          <w:sz w:val="24"/>
          <w:szCs w:val="24"/>
        </w:rPr>
        <w:t xml:space="preserve">. </w:t>
      </w:r>
      <w:r w:rsidRPr="00072FA5">
        <w:rPr>
          <w:rFonts w:ascii="Times New Roman" w:hAnsi="Times New Roman"/>
          <w:i/>
          <w:iCs/>
          <w:noProof/>
          <w:sz w:val="24"/>
          <w:szCs w:val="24"/>
        </w:rPr>
        <w:t>P</w:t>
      </w:r>
      <w:r w:rsidRPr="00072FA5">
        <w:rPr>
          <w:rFonts w:ascii="Times New Roman" w:hAnsi="Times New Roman"/>
          <w:noProof/>
          <w:sz w:val="24"/>
          <w:szCs w:val="24"/>
        </w:rPr>
        <w:t>-values are shown in the graphs. MFI, mean fluorescence intensity, OC, osteoclast.</w:t>
      </w:r>
      <w:r w:rsidRPr="00072FA5">
        <w:rPr>
          <w:rFonts w:ascii="Times New Roman" w:hAnsi="Times New Roman"/>
          <w:noProof/>
          <w:sz w:val="24"/>
          <w:szCs w:val="24"/>
        </w:rPr>
        <w:br w:type="page"/>
      </w:r>
    </w:p>
    <w:p w:rsidR="00550CEF" w:rsidRDefault="00550CEF" w:rsidP="00550CEF">
      <w:pPr>
        <w:spacing w:before="120" w:line="276" w:lineRule="auto"/>
        <w:rPr>
          <w:rFonts w:ascii="Times New Roman" w:hAnsi="Times New Roman"/>
          <w:noProof/>
          <w:sz w:val="24"/>
          <w:szCs w:val="24"/>
        </w:rPr>
      </w:pPr>
      <w:r>
        <w:rPr>
          <w:rFonts w:ascii="Times New Roman" w:hAnsi="Times New Roman"/>
          <w:noProof/>
          <w:sz w:val="24"/>
          <w:szCs w:val="24"/>
          <w:lang w:eastAsia="en-US"/>
        </w:rPr>
        <w:drawing>
          <wp:inline distT="0" distB="0" distL="0" distR="0" wp14:anchorId="04C7A6E0" wp14:editId="7A5995D8">
            <wp:extent cx="5989320" cy="3941064"/>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89320" cy="3941064"/>
                    </a:xfrm>
                    <a:prstGeom prst="rect">
                      <a:avLst/>
                    </a:prstGeom>
                    <a:noFill/>
                  </pic:spPr>
                </pic:pic>
              </a:graphicData>
            </a:graphic>
          </wp:inline>
        </w:drawing>
      </w:r>
    </w:p>
    <w:p w:rsidR="00550CEF" w:rsidRPr="00072FA5" w:rsidRDefault="00550CEF" w:rsidP="00550CEF">
      <w:pPr>
        <w:spacing w:before="120" w:line="276" w:lineRule="auto"/>
        <w:outlineLvl w:val="1"/>
        <w:rPr>
          <w:rFonts w:ascii="Times New Roman" w:hAnsi="Times New Roman"/>
          <w:b/>
          <w:bCs/>
          <w:noProof/>
          <w:sz w:val="24"/>
          <w:szCs w:val="24"/>
        </w:rPr>
      </w:pPr>
      <w:r w:rsidRPr="00913CFB">
        <w:rPr>
          <w:rFonts w:ascii="Times New Roman" w:hAnsi="Times New Roman"/>
          <w:b/>
          <w:bCs/>
          <w:noProof/>
          <w:sz w:val="24"/>
          <w:szCs w:val="24"/>
        </w:rPr>
        <w:t>Supplementary Fig. 5 Knockout of OGT mitigates bone loss in ovariectomy-induced osteoporosis.</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b/>
          <w:bCs/>
          <w:noProof/>
          <w:sz w:val="24"/>
          <w:szCs w:val="24"/>
        </w:rPr>
        <w:t>(A</w:t>
      </w:r>
      <w:r w:rsidRPr="00072FA5">
        <w:rPr>
          <w:rFonts w:ascii="Times New Roman" w:hAnsi="Times New Roman"/>
          <w:noProof/>
          <w:sz w:val="24"/>
          <w:szCs w:val="24"/>
        </w:rPr>
        <w:t>) Images and quantification of microcomputed tomography scans of bone tissue and the analysis of the tibial bone structure. (</w:t>
      </w:r>
      <w:r w:rsidRPr="00072FA5">
        <w:rPr>
          <w:rFonts w:ascii="Times New Roman" w:hAnsi="Times New Roman"/>
          <w:b/>
          <w:bCs/>
          <w:noProof/>
          <w:sz w:val="24"/>
          <w:szCs w:val="24"/>
        </w:rPr>
        <w:t>B</w:t>
      </w:r>
      <w:r w:rsidRPr="00072FA5">
        <w:rPr>
          <w:rFonts w:ascii="Times New Roman" w:hAnsi="Times New Roman"/>
          <w:noProof/>
          <w:sz w:val="24"/>
          <w:szCs w:val="24"/>
        </w:rPr>
        <w:t>) Representative histological images with semi-automated, blinded quantification of H&amp;E staining and TRAP staining. (n ≥ 5 for all groups)</w:t>
      </w:r>
    </w:p>
    <w:p w:rsidR="00550CEF" w:rsidRPr="00401AA6"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 xml:space="preserve">All results are presented as median ± IQR. Horizontal scale bars are represented as 100 µm in histological staining. Statistical significance was determined by Mann-Whitney U-test. </w:t>
      </w:r>
      <w:r w:rsidRPr="00072FA5">
        <w:rPr>
          <w:rFonts w:ascii="Times New Roman" w:hAnsi="Times New Roman"/>
          <w:i/>
          <w:iCs/>
          <w:noProof/>
          <w:sz w:val="24"/>
          <w:szCs w:val="24"/>
        </w:rPr>
        <w:t>P</w:t>
      </w:r>
      <w:r w:rsidRPr="00072FA5">
        <w:rPr>
          <w:rFonts w:ascii="Times New Roman" w:hAnsi="Times New Roman"/>
          <w:noProof/>
          <w:sz w:val="24"/>
          <w:szCs w:val="24"/>
        </w:rPr>
        <w:t xml:space="preserve">-values shown in the graphs. </w:t>
      </w:r>
      <w:r>
        <w:rPr>
          <w:rFonts w:ascii="Times New Roman" w:hAnsi="Times New Roman"/>
          <w:noProof/>
          <w:sz w:val="24"/>
          <w:szCs w:val="24"/>
        </w:rPr>
        <w:t>N.Oc, number of osteoclast.</w:t>
      </w:r>
      <w:r>
        <w:rPr>
          <w:rFonts w:ascii="Times New Roman" w:hAnsi="Times New Roman"/>
          <w:b/>
          <w:noProof/>
          <w:sz w:val="24"/>
          <w:szCs w:val="24"/>
        </w:rPr>
        <w:br w:type="page"/>
      </w:r>
    </w:p>
    <w:p w:rsidR="00550CEF" w:rsidRDefault="00550CEF" w:rsidP="00550CEF">
      <w:pPr>
        <w:spacing w:before="120" w:line="276" w:lineRule="auto"/>
        <w:rPr>
          <w:rFonts w:ascii="Times New Roman" w:hAnsi="Times New Roman"/>
          <w:b/>
          <w:bCs/>
          <w:noProof/>
          <w:sz w:val="24"/>
          <w:szCs w:val="24"/>
        </w:rPr>
      </w:pPr>
      <w:r>
        <w:rPr>
          <w:rFonts w:ascii="Times New Roman" w:hAnsi="Times New Roman"/>
          <w:b/>
          <w:bCs/>
          <w:noProof/>
          <w:sz w:val="24"/>
          <w:szCs w:val="24"/>
          <w:lang w:eastAsia="en-US"/>
        </w:rPr>
        <w:drawing>
          <wp:inline distT="0" distB="0" distL="0" distR="0" wp14:anchorId="59D681B1" wp14:editId="153A57D1">
            <wp:extent cx="5989320" cy="8065008"/>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89320" cy="8065008"/>
                    </a:xfrm>
                    <a:prstGeom prst="rect">
                      <a:avLst/>
                    </a:prstGeom>
                    <a:noFill/>
                  </pic:spPr>
                </pic:pic>
              </a:graphicData>
            </a:graphic>
          </wp:inline>
        </w:drawing>
      </w:r>
    </w:p>
    <w:p w:rsidR="00550CEF" w:rsidRPr="00072FA5" w:rsidRDefault="00550CEF" w:rsidP="00550CEF">
      <w:pPr>
        <w:spacing w:before="120" w:line="276" w:lineRule="auto"/>
        <w:outlineLvl w:val="1"/>
        <w:rPr>
          <w:rFonts w:ascii="Times New Roman" w:hAnsi="Times New Roman"/>
          <w:b/>
          <w:bCs/>
          <w:noProof/>
          <w:sz w:val="24"/>
          <w:szCs w:val="24"/>
        </w:rPr>
      </w:pPr>
      <w:r w:rsidRPr="00913CFB">
        <w:rPr>
          <w:rFonts w:ascii="Times New Roman" w:hAnsi="Times New Roman"/>
          <w:b/>
          <w:bCs/>
          <w:noProof/>
          <w:sz w:val="24"/>
          <w:szCs w:val="24"/>
        </w:rPr>
        <w:t>Supplementary Fig. 6 Pharmacological</w:t>
      </w:r>
      <w:r w:rsidRPr="00072FA5">
        <w:rPr>
          <w:rFonts w:ascii="Times New Roman" w:hAnsi="Times New Roman"/>
          <w:b/>
          <w:bCs/>
          <w:noProof/>
          <w:sz w:val="24"/>
          <w:szCs w:val="24"/>
        </w:rPr>
        <w:t xml:space="preserve"> inhibition of OGA ameliorates bone loss in serum-induced arthritis.</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w:t>
      </w:r>
      <w:r w:rsidRPr="00072FA5">
        <w:rPr>
          <w:rFonts w:ascii="Times New Roman" w:hAnsi="Times New Roman"/>
          <w:b/>
          <w:bCs/>
          <w:noProof/>
          <w:sz w:val="24"/>
          <w:szCs w:val="24"/>
        </w:rPr>
        <w:t>A</w:t>
      </w:r>
      <w:r w:rsidRPr="00072FA5">
        <w:rPr>
          <w:rFonts w:ascii="Times New Roman" w:hAnsi="Times New Roman"/>
          <w:noProof/>
          <w:sz w:val="24"/>
          <w:szCs w:val="24"/>
        </w:rPr>
        <w:t>) Grip strength and joint swelling. (</w:t>
      </w:r>
      <w:r w:rsidRPr="00072FA5">
        <w:rPr>
          <w:rFonts w:ascii="Times New Roman" w:hAnsi="Times New Roman"/>
          <w:b/>
          <w:bCs/>
          <w:noProof/>
          <w:sz w:val="24"/>
          <w:szCs w:val="24"/>
        </w:rPr>
        <w:t>B)</w:t>
      </w:r>
      <w:r w:rsidRPr="00072FA5">
        <w:rPr>
          <w:rFonts w:ascii="Times New Roman" w:hAnsi="Times New Roman"/>
          <w:noProof/>
          <w:sz w:val="24"/>
          <w:szCs w:val="24"/>
        </w:rPr>
        <w:t xml:space="preserve"> Images and quantification of microcomputed tomography scans of bone tissue and the analysis of the tibial bone structure. (</w:t>
      </w:r>
      <w:r w:rsidRPr="00072FA5">
        <w:rPr>
          <w:rFonts w:ascii="Times New Roman" w:hAnsi="Times New Roman"/>
          <w:b/>
          <w:bCs/>
          <w:noProof/>
          <w:sz w:val="24"/>
          <w:szCs w:val="24"/>
        </w:rPr>
        <w:t>C</w:t>
      </w:r>
      <w:r w:rsidRPr="00072FA5">
        <w:rPr>
          <w:rFonts w:ascii="Times New Roman" w:hAnsi="Times New Roman"/>
          <w:noProof/>
          <w:sz w:val="24"/>
          <w:szCs w:val="24"/>
        </w:rPr>
        <w:t>) Representative histological and confocal images with semi-automated, blinded quantification of H&amp;E staining, TRAP staining, and O-GlcNAcylation. (n ≥ 5 for all groups)</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All results are presented as median ± IQR. Horizontal scale bars are represented as 50 µm in IF images, 100 µm in histological staining. Statistical significance was determined by two-way ANOVA (</w:t>
      </w:r>
      <w:r w:rsidRPr="00072FA5">
        <w:rPr>
          <w:rFonts w:ascii="Times New Roman" w:hAnsi="Times New Roman"/>
          <w:b/>
          <w:noProof/>
          <w:sz w:val="24"/>
          <w:szCs w:val="24"/>
        </w:rPr>
        <w:t>A and C</w:t>
      </w:r>
      <w:r w:rsidRPr="00072FA5">
        <w:rPr>
          <w:rFonts w:ascii="Times New Roman" w:hAnsi="Times New Roman"/>
          <w:noProof/>
          <w:sz w:val="24"/>
          <w:szCs w:val="24"/>
        </w:rPr>
        <w:t>) or Mann-Whitney U-test (</w:t>
      </w:r>
      <w:r w:rsidRPr="00072FA5">
        <w:rPr>
          <w:rFonts w:ascii="Times New Roman" w:hAnsi="Times New Roman"/>
          <w:b/>
          <w:noProof/>
          <w:sz w:val="24"/>
          <w:szCs w:val="24"/>
        </w:rPr>
        <w:t>B)</w:t>
      </w:r>
      <w:r w:rsidRPr="00072FA5">
        <w:rPr>
          <w:rFonts w:ascii="Times New Roman" w:hAnsi="Times New Roman"/>
          <w:noProof/>
          <w:sz w:val="24"/>
          <w:szCs w:val="24"/>
        </w:rPr>
        <w:t xml:space="preserve">. </w:t>
      </w:r>
      <w:r w:rsidRPr="00072FA5">
        <w:rPr>
          <w:rFonts w:ascii="Times New Roman" w:hAnsi="Times New Roman"/>
          <w:i/>
          <w:iCs/>
          <w:noProof/>
          <w:sz w:val="24"/>
          <w:szCs w:val="24"/>
        </w:rPr>
        <w:t>P</w:t>
      </w:r>
      <w:r w:rsidRPr="00072FA5">
        <w:rPr>
          <w:rFonts w:ascii="Times New Roman" w:hAnsi="Times New Roman"/>
          <w:noProof/>
          <w:sz w:val="24"/>
          <w:szCs w:val="24"/>
        </w:rPr>
        <w:t>-values shown in the graphs. MFI, mean fluorescence intensity, OC, osteoclast.</w:t>
      </w:r>
      <w:r w:rsidRPr="00072FA5">
        <w:rPr>
          <w:rFonts w:ascii="Times New Roman" w:hAnsi="Times New Roman"/>
          <w:noProof/>
          <w:sz w:val="24"/>
          <w:szCs w:val="24"/>
        </w:rPr>
        <w:br w:type="page"/>
      </w:r>
    </w:p>
    <w:p w:rsidR="00550CEF" w:rsidRDefault="00550CEF" w:rsidP="00550CEF">
      <w:pPr>
        <w:spacing w:before="120" w:line="276" w:lineRule="auto"/>
        <w:rPr>
          <w:rFonts w:ascii="Times New Roman" w:hAnsi="Times New Roman"/>
          <w:noProof/>
          <w:sz w:val="24"/>
          <w:szCs w:val="24"/>
        </w:rPr>
      </w:pPr>
      <w:r>
        <w:rPr>
          <w:rFonts w:ascii="Times New Roman" w:hAnsi="Times New Roman"/>
          <w:noProof/>
          <w:sz w:val="24"/>
          <w:szCs w:val="24"/>
          <w:lang w:eastAsia="en-US"/>
        </w:rPr>
        <w:drawing>
          <wp:inline distT="0" distB="0" distL="0" distR="0" wp14:anchorId="7A47B1B5" wp14:editId="2B796338">
            <wp:extent cx="5989320" cy="2322576"/>
            <wp:effectExtent l="0" t="0" r="0" b="190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89320" cy="2322576"/>
                    </a:xfrm>
                    <a:prstGeom prst="rect">
                      <a:avLst/>
                    </a:prstGeom>
                    <a:noFill/>
                  </pic:spPr>
                </pic:pic>
              </a:graphicData>
            </a:graphic>
          </wp:inline>
        </w:drawing>
      </w:r>
    </w:p>
    <w:p w:rsidR="00550CEF" w:rsidRDefault="00550CEF" w:rsidP="00550CEF">
      <w:pPr>
        <w:rPr>
          <w:rFonts w:ascii="Times New Roman" w:hAnsi="Times New Roman"/>
          <w:noProof/>
          <w:sz w:val="24"/>
          <w:szCs w:val="24"/>
        </w:rPr>
      </w:pPr>
    </w:p>
    <w:p w:rsidR="00550CEF" w:rsidRPr="00072FA5" w:rsidRDefault="00550CEF" w:rsidP="00550CEF">
      <w:pPr>
        <w:outlineLvl w:val="1"/>
        <w:rPr>
          <w:rFonts w:ascii="Times New Roman" w:hAnsi="Times New Roman"/>
          <w:noProof/>
          <w:sz w:val="24"/>
          <w:szCs w:val="24"/>
        </w:rPr>
      </w:pPr>
      <w:r w:rsidRPr="00913CFB">
        <w:rPr>
          <w:rFonts w:ascii="Times New Roman" w:hAnsi="Times New Roman"/>
          <w:b/>
          <w:noProof/>
          <w:sz w:val="24"/>
          <w:szCs w:val="24"/>
        </w:rPr>
        <w:t>Supplementary Fig. 7</w:t>
      </w:r>
      <w:r w:rsidRPr="00072FA5">
        <w:rPr>
          <w:rFonts w:ascii="Times New Roman" w:hAnsi="Times New Roman"/>
          <w:b/>
          <w:noProof/>
          <w:sz w:val="24"/>
          <w:szCs w:val="24"/>
        </w:rPr>
        <w:t xml:space="preserve"> OGT and OGA inhibition arrest cells at different differentiation states.</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Expression heatmap of previous published signature genes for each functional stage during osteoclastogenesis</w:t>
      </w:r>
      <w:r>
        <w:rPr>
          <w:rFonts w:ascii="Times New Roman" w:hAnsi="Times New Roman"/>
          <w:noProof/>
          <w:sz w:val="24"/>
          <w:szCs w:val="24"/>
        </w:rPr>
        <w:fldChar w:fldCharType="begin">
          <w:fldData xml:space="preserve">PEVuZE5vdGU+PENpdGU+PEF1dGhvcj5Uc3VrYXNha2k8L0F1dGhvcj48WWVhcj4yMDIwPC9ZZWFy
PjxSZWNOdW0+MjA5PC9SZWNOdW0+PERpc3BsYXlUZXh0PjxzdHlsZSBmYWNlPSJzdXBlcnNjcmlw
dCI+MTwvc3R5bGU+PC9EaXNwbGF5VGV4dD48cmVjb3JkPjxyZWMtbnVtYmVyPjIwOTwvcmVjLW51
bWJlcj48Zm9yZWlnbi1rZXlzPjxrZXkgYXBwPSJFTiIgZGItaWQ9IndyZmRzd3ZyNnBkeHNhZWZy
cHJwMnI1ZmZyMHp6OWR6ZXZ4ZCIgdGltZXN0YW1wPSIxNjE0Njk0MDQwIj4yMDk8L2tleT48L2Zv
cmVpZ24ta2V5cz48cmVmLXR5cGUgbmFtZT0iSm91cm5hbCBBcnRpY2xlIj4xNzwvcmVmLXR5cGU+
PGNvbnRyaWJ1dG9ycz48YXV0aG9ycz48YXV0aG9yPlRzdWthc2FraSwgTS48L2F1dGhvcj48YXV0
aG9yPkh1eW5oLCBOLiBDLjwvYXV0aG9yPjxhdXRob3I+T2thbW90bywgSy48L2F1dGhvcj48YXV0
aG9yPk11cm8sIFIuPC9hdXRob3I+PGF1dGhvcj5UZXJhc2hpbWEsIEEuPC9hdXRob3I+PGF1dGhv
cj5LdXJpa2F3YSwgWS48L2F1dGhvcj48YXV0aG9yPktvbWF0c3UsIE4uPC9hdXRob3I+PGF1dGhv
cj5QbHVlbXNha3VudGhhaSwgVy48L2F1dGhvcj48YXV0aG9yPk5pdHRhLCBULjwvYXV0aG9yPjxh
dXRob3I+QWJlLCBULjwvYXV0aG9yPjxhdXRob3I+S2l5b25hcmksIEguPC9hdXRob3I+PGF1dGhv
cj5Pa2FtdXJhLCBULjwvYXV0aG9yPjxhdXRob3I+U2FrYWksIE0uPC9hdXRob3I+PGF1dGhvcj5N
YXRzdWthd2EsIFQuPC9hdXRob3I+PGF1dGhvcj5NYXRzdW1vdG8sIE0uPC9hdXRob3I+PGF1dGhv
cj5Lb2JheWFzaGksIFkuPC9hdXRob3I+PGF1dGhvcj5QZW5uaW5nZXIsIEouIE0uPC9hdXRob3I+
PGF1dGhvcj5UYWtheWFuYWdpLCBILjwvYXV0aG9yPjwvYXV0aG9ycz48L2NvbnRyaWJ1dG9ycz48
YXV0aC1hZGRyZXNzPkRlcGFydG1lbnQgb2YgSW1tdW5vbG9neSwgR3JhZHVhdGUgU2Nob29sIG9m
IE1lZGljaW5lIGFuZCBGYWN1bHR5IG9mIE1lZGljaW5lLCBUaGUgVW5pdmVyc2l0eSBvZiBUb2t5
bywgVG9reW8sIEphcGFuLiYjeEQ7RGVwYXJ0bWVudCBvZiBPc3Rlb2ltbXVub2xvZ3ksIEdyYWR1
YXRlIFNjaG9vbCBvZiBNZWRpY2luZSBhbmQgRmFjdWx0eSBvZiBNZWRpY2luZSwgVGhlIFVuaXZl
cnNpdHkgb2YgVG9reW8sIFRva3lvLCBKYXBhbi4mI3hEO0RlcGFydG1lbnQgb2YgQmlvY2hlbWlz
dHJ5IGFuZCBNb2xlY3VsYXIgQmlvbG9neSwgR3JhZHVhdGUgU2Nob29sIG9mIE1lZGljaW5lLCBU
aGUgVW5pdmVyc2l0eSBvZiBUb2t5bywgVG9reW8sIEphcGFuLiYjeEQ7TGFib3JhdG9yeSBmb3Ig
QW5pbWFsIFJlc291cmNlcyBhbmQgR2VuZXRpYyBFbmdpbmVlcmluZywgUklLRU4gQ2VudGVyIGZv
ciBCaW9zeXN0ZW1zIER5bmFtaWNzIFJlc2VhcmNoLCBLb2JlLCBKYXBhbi4mI3hEO0RlcGFydG1l
bnQgb2YgTGFib3JhdG9yeSBBbmltYWwgTWVkaWNpbmUsIFJlc2VhcmNoIEluc3RpdHV0ZSwgTmF0
aW9uYWwgQ2VudGVyIGZvciBHbG9iYWwgSGVhbHRoIGFuZCBNZWRpY2luZSwgVG9reW8sIEphcGFu
LiYjeEQ7RGVwYXJ0bWVudCBvZiBCaW9jaGVtaXN0cnkgYW5kIE1vbGVjdWxhciBCaW9sb2d5LCBO
aXBwb24gTWVkaWNhbCBTY2hvb2wsIFRva3lvLCBKYXBhbi4mI3hEO0RlcGFydG1lbnQgb2YgTW9s
ZWN1bGFyIE1ldGFib2xpYyBSZWd1bGF0aW9uLCBEaWFiZXRlcyBSZXNlYXJjaCBDZW50ZXIsIFJl
c2VhcmNoIEluc3RpdHV0ZSwgTmF0aW9uYWwgQ2VudGVyIGZvciBHbG9iYWwgSGVhbHRoIGFuZCBN
ZWRpY2luZSwgVG9reW8sIEphcGFuLiYjeEQ7RGl2aXNpb24gb2YgSGFyZCBUaXNzdWUgUmVzZWFy
Y2gsIEluc3RpdHV0ZSBmb3IgT3JhbCBTY2llbmNlLCBNYXRzdW1vdG8gRGVudGFsIFVuaXZlcnNp
dHksIFNoaW9qaXJpLCBKYXBhbi4mI3hEO0lNQkEsIEluc3RpdHV0ZSBvZiBNb2xlY3VsYXIgQmlv
dGVjaG5vbG9neSBvZiB0aGUgQXVzdHJpYW4gQWNhZGVteSBvZiBTY2llbmNlLCBWaWVubmEsIEF1
c3RyaWEuJiN4RDtMaWZlIFNjaWVuY2UgSW5zdGl0dXRlLCBUaGUgVW5pdmVyc2l0eSBvZiBCcml0
aXNoIENvbHVtYmlhLCBWYW5jb3V2ZXIsIEJyaXRpc2ggQ29sdW1iaWEsIENhbmFkYS4mI3hEO0Rl
cGFydG1lbnQgb2YgSW1tdW5vbG9neSwgR3JhZHVhdGUgU2Nob29sIG9mIE1lZGljaW5lIGFuZCBG
YWN1bHR5IG9mIE1lZGljaW5lLCBUaGUgVW5pdmVyc2l0eSBvZiBUb2t5bywgVG9reW8sIEphcGFu
LiB0YWtheWFuYUBtLnUtdG9reW8uYWMuanAuPC9hdXRoLWFkZHJlc3M+PHRpdGxlcz48dGl0bGU+
U3RlcHdpc2UgY2VsbCBmYXRlIGRlY2lzaW9uIHBhdGh3YXlzIGR1cmluZyBvc3Rlb2NsYXN0b2dl
bmVzaXMgYXQgc2luZ2xlLWNlbGwgcmVzb2x1dGlvbjwvdGl0bGU+PHNlY29uZGFyeS10aXRsZT5O
YXQgTWV0YWI8L3NlY29uZGFyeS10aXRsZT48L3RpdGxlcz48cGVyaW9kaWNhbD48ZnVsbC10aXRs
ZT5OYXQgTWV0YWI8L2Z1bGwtdGl0bGU+PC9wZXJpb2RpY2FsPjxwYWdlcz4xMzgyLTEzOTA8L3Bh
Z2VzPjx2b2x1bWU+Mjwvdm9sdW1lPjxudW1iZXI+MTI8L251bWJlcj48ZWRpdGlvbj4yMDIwLzEy
LzA5PC9lZGl0aW9uPjxrZXl3b3Jkcz48a2V5d29yZD5BbmltYWxzPC9rZXl3b3JkPjxrZXl3b3Jk
PkJvbmUgTWFycm93IENlbGxzPC9rZXl3b3JkPjxrZXl3b3JkPkNEMTFjIEFudGlnZW4vbWV0YWJv
bGlzbTwva2V5d29yZD48a2V5d29yZD5DZWxsIFByb2xpZmVyYXRpb248L2tleXdvcmQ+PGtleXdv
cmQ+RGF0YWJhc2VzLCBGYWN0dWFsPC9rZXl3b3JkPjxrZXl3b3JkPkZlbWFsZTwva2V5d29yZD48
a2V5d29yZD5NaWNlPC9rZXl3b3JkPjxrZXl3b3JkPk1pY2UsIEluYnJlZCBDNTdCTDwva2V5d29y
ZD48a2V5d29yZD5Pc3Rlb2NsYXN0cy8qcGh5c2lvbG9neTwva2V5d29yZD48a2V5d29yZD5Pc3Rl
b2dlbmVzaXMvZ2VuZXRpY3MvKnBoeXNpb2xvZ3k8L2tleXdvcmQ+PGtleXdvcmQ+UHJlZ25hbmN5
PC9rZXl3b3JkPjxrZXl3b3JkPlJlcHJlc3NvciBQcm90ZWlucy9tZXRhYm9saXNtPC9rZXl3b3Jk
PjxrZXl3b3JkPlNpZ25hbCBUcmFuc2R1Y3Rpb24vZ2VuZXRpY3MvKnBoeXNpb2xvZ3k8L2tleXdv
cmQ+PGtleXdvcmQ+VHJhbnMtQWN0aXZhdG9ycy9tZXRhYm9saXNtPC9rZXl3b3JkPjxrZXl3b3Jk
PnAzMDAtQ0JQIFRyYW5zY3JpcHRpb24gRmFjdG9yczwva2V5d29yZD48L2tleXdvcmRzPjxkYXRl
cz48eWVhcj4yMDIwPC95ZWFyPjxwdWItZGF0ZXM+PGRhdGU+RGVjPC9kYXRlPjwvcHViLWRhdGVz
PjwvZGF0ZXM+PGlzYm4+MjUyMi01ODEyIChFbGVjdHJvbmljKSYjeEQ7MjUyMi01ODEyIChMaW5r
aW5nKTwvaXNibj48YWNjZXNzaW9uLW51bT4zMzI4ODk1MTwvYWNjZXNzaW9uLW51bT48dXJscz48
cmVsYXRlZC11cmxzPjx1cmw+aHR0cHM6Ly93d3cubmNiaS5ubG0ubmloLmdvdi9wdWJtZWQvMzMy
ODg5NTE8L3VybD48L3JlbGF0ZWQtdXJscz48L3VybHM+PGVsZWN0cm9uaWMtcmVzb3VyY2UtbnVt
PjEwLjEwMzgvczQyMjU1LTAyMC0wMDMxOC15PC9lbGVjdHJvbmljLXJlc291cmNlLW51bT48L3Jl
Y29yZD48L0NpdGU+PC9FbmROb3RlPn==
</w:fldData>
        </w:fldChar>
      </w:r>
      <w:r w:rsidR="00AD51F7">
        <w:rPr>
          <w:rFonts w:ascii="Times New Roman" w:hAnsi="Times New Roman"/>
          <w:noProof/>
          <w:sz w:val="24"/>
          <w:szCs w:val="24"/>
        </w:rPr>
        <w:instrText xml:space="preserve"> ADDIN EN.CITE </w:instrText>
      </w:r>
      <w:r w:rsidR="00AD51F7">
        <w:rPr>
          <w:rFonts w:ascii="Times New Roman" w:hAnsi="Times New Roman"/>
          <w:noProof/>
          <w:sz w:val="24"/>
          <w:szCs w:val="24"/>
        </w:rPr>
        <w:fldChar w:fldCharType="begin">
          <w:fldData xml:space="preserve">PEVuZE5vdGU+PENpdGU+PEF1dGhvcj5Uc3VrYXNha2k8L0F1dGhvcj48WWVhcj4yMDIwPC9ZZWFy
PjxSZWNOdW0+MjA5PC9SZWNOdW0+PERpc3BsYXlUZXh0PjxzdHlsZSBmYWNlPSJzdXBlcnNjcmlw
dCI+MTwvc3R5bGU+PC9EaXNwbGF5VGV4dD48cmVjb3JkPjxyZWMtbnVtYmVyPjIwOTwvcmVjLW51
bWJlcj48Zm9yZWlnbi1rZXlzPjxrZXkgYXBwPSJFTiIgZGItaWQ9IndyZmRzd3ZyNnBkeHNhZWZy
cHJwMnI1ZmZyMHp6OWR6ZXZ4ZCIgdGltZXN0YW1wPSIxNjE0Njk0MDQwIj4yMDk8L2tleT48L2Zv
cmVpZ24ta2V5cz48cmVmLXR5cGUgbmFtZT0iSm91cm5hbCBBcnRpY2xlIj4xNzwvcmVmLXR5cGU+
PGNvbnRyaWJ1dG9ycz48YXV0aG9ycz48YXV0aG9yPlRzdWthc2FraSwgTS48L2F1dGhvcj48YXV0
aG9yPkh1eW5oLCBOLiBDLjwvYXV0aG9yPjxhdXRob3I+T2thbW90bywgSy48L2F1dGhvcj48YXV0
aG9yPk11cm8sIFIuPC9hdXRob3I+PGF1dGhvcj5UZXJhc2hpbWEsIEEuPC9hdXRob3I+PGF1dGhv
cj5LdXJpa2F3YSwgWS48L2F1dGhvcj48YXV0aG9yPktvbWF0c3UsIE4uPC9hdXRob3I+PGF1dGhv
cj5QbHVlbXNha3VudGhhaSwgVy48L2F1dGhvcj48YXV0aG9yPk5pdHRhLCBULjwvYXV0aG9yPjxh
dXRob3I+QWJlLCBULjwvYXV0aG9yPjxhdXRob3I+S2l5b25hcmksIEguPC9hdXRob3I+PGF1dGhv
cj5Pa2FtdXJhLCBULjwvYXV0aG9yPjxhdXRob3I+U2FrYWksIE0uPC9hdXRob3I+PGF1dGhvcj5N
YXRzdWthd2EsIFQuPC9hdXRob3I+PGF1dGhvcj5NYXRzdW1vdG8sIE0uPC9hdXRob3I+PGF1dGhv
cj5Lb2JheWFzaGksIFkuPC9hdXRob3I+PGF1dGhvcj5QZW5uaW5nZXIsIEouIE0uPC9hdXRob3I+
PGF1dGhvcj5UYWtheWFuYWdpLCBILjwvYXV0aG9yPjwvYXV0aG9ycz48L2NvbnRyaWJ1dG9ycz48
YXV0aC1hZGRyZXNzPkRlcGFydG1lbnQgb2YgSW1tdW5vbG9neSwgR3JhZHVhdGUgU2Nob29sIG9m
IE1lZGljaW5lIGFuZCBGYWN1bHR5IG9mIE1lZGljaW5lLCBUaGUgVW5pdmVyc2l0eSBvZiBUb2t5
bywgVG9reW8sIEphcGFuLiYjeEQ7RGVwYXJ0bWVudCBvZiBPc3Rlb2ltbXVub2xvZ3ksIEdyYWR1
YXRlIFNjaG9vbCBvZiBNZWRpY2luZSBhbmQgRmFjdWx0eSBvZiBNZWRpY2luZSwgVGhlIFVuaXZl
cnNpdHkgb2YgVG9reW8sIFRva3lvLCBKYXBhbi4mI3hEO0RlcGFydG1lbnQgb2YgQmlvY2hlbWlz
dHJ5IGFuZCBNb2xlY3VsYXIgQmlvbG9neSwgR3JhZHVhdGUgU2Nob29sIG9mIE1lZGljaW5lLCBU
aGUgVW5pdmVyc2l0eSBvZiBUb2t5bywgVG9reW8sIEphcGFuLiYjeEQ7TGFib3JhdG9yeSBmb3Ig
QW5pbWFsIFJlc291cmNlcyBhbmQgR2VuZXRpYyBFbmdpbmVlcmluZywgUklLRU4gQ2VudGVyIGZv
ciBCaW9zeXN0ZW1zIER5bmFtaWNzIFJlc2VhcmNoLCBLb2JlLCBKYXBhbi4mI3hEO0RlcGFydG1l
bnQgb2YgTGFib3JhdG9yeSBBbmltYWwgTWVkaWNpbmUsIFJlc2VhcmNoIEluc3RpdHV0ZSwgTmF0
aW9uYWwgQ2VudGVyIGZvciBHbG9iYWwgSGVhbHRoIGFuZCBNZWRpY2luZSwgVG9reW8sIEphcGFu
LiYjeEQ7RGVwYXJ0bWVudCBvZiBCaW9jaGVtaXN0cnkgYW5kIE1vbGVjdWxhciBCaW9sb2d5LCBO
aXBwb24gTWVkaWNhbCBTY2hvb2wsIFRva3lvLCBKYXBhbi4mI3hEO0RlcGFydG1lbnQgb2YgTW9s
ZWN1bGFyIE1ldGFib2xpYyBSZWd1bGF0aW9uLCBEaWFiZXRlcyBSZXNlYXJjaCBDZW50ZXIsIFJl
c2VhcmNoIEluc3RpdHV0ZSwgTmF0aW9uYWwgQ2VudGVyIGZvciBHbG9iYWwgSGVhbHRoIGFuZCBN
ZWRpY2luZSwgVG9reW8sIEphcGFuLiYjeEQ7RGl2aXNpb24gb2YgSGFyZCBUaXNzdWUgUmVzZWFy
Y2gsIEluc3RpdHV0ZSBmb3IgT3JhbCBTY2llbmNlLCBNYXRzdW1vdG8gRGVudGFsIFVuaXZlcnNp
dHksIFNoaW9qaXJpLCBKYXBhbi4mI3hEO0lNQkEsIEluc3RpdHV0ZSBvZiBNb2xlY3VsYXIgQmlv
dGVjaG5vbG9neSBvZiB0aGUgQXVzdHJpYW4gQWNhZGVteSBvZiBTY2llbmNlLCBWaWVubmEsIEF1
c3RyaWEuJiN4RDtMaWZlIFNjaWVuY2UgSW5zdGl0dXRlLCBUaGUgVW5pdmVyc2l0eSBvZiBCcml0
aXNoIENvbHVtYmlhLCBWYW5jb3V2ZXIsIEJyaXRpc2ggQ29sdW1iaWEsIENhbmFkYS4mI3hEO0Rl
cGFydG1lbnQgb2YgSW1tdW5vbG9neSwgR3JhZHVhdGUgU2Nob29sIG9mIE1lZGljaW5lIGFuZCBG
YWN1bHR5IG9mIE1lZGljaW5lLCBUaGUgVW5pdmVyc2l0eSBvZiBUb2t5bywgVG9reW8sIEphcGFu
LiB0YWtheWFuYUBtLnUtdG9reW8uYWMuanAuPC9hdXRoLWFkZHJlc3M+PHRpdGxlcz48dGl0bGU+
U3RlcHdpc2UgY2VsbCBmYXRlIGRlY2lzaW9uIHBhdGh3YXlzIGR1cmluZyBvc3Rlb2NsYXN0b2dl
bmVzaXMgYXQgc2luZ2xlLWNlbGwgcmVzb2x1dGlvbjwvdGl0bGU+PHNlY29uZGFyeS10aXRsZT5O
YXQgTWV0YWI8L3NlY29uZGFyeS10aXRsZT48L3RpdGxlcz48cGVyaW9kaWNhbD48ZnVsbC10aXRs
ZT5OYXQgTWV0YWI8L2Z1bGwtdGl0bGU+PC9wZXJpb2RpY2FsPjxwYWdlcz4xMzgyLTEzOTA8L3Bh
Z2VzPjx2b2x1bWU+Mjwvdm9sdW1lPjxudW1iZXI+MTI8L251bWJlcj48ZWRpdGlvbj4yMDIwLzEy
LzA5PC9lZGl0aW9uPjxrZXl3b3Jkcz48a2V5d29yZD5BbmltYWxzPC9rZXl3b3JkPjxrZXl3b3Jk
PkJvbmUgTWFycm93IENlbGxzPC9rZXl3b3JkPjxrZXl3b3JkPkNEMTFjIEFudGlnZW4vbWV0YWJv
bGlzbTwva2V5d29yZD48a2V5d29yZD5DZWxsIFByb2xpZmVyYXRpb248L2tleXdvcmQ+PGtleXdv
cmQ+RGF0YWJhc2VzLCBGYWN0dWFsPC9rZXl3b3JkPjxrZXl3b3JkPkZlbWFsZTwva2V5d29yZD48
a2V5d29yZD5NaWNlPC9rZXl3b3JkPjxrZXl3b3JkPk1pY2UsIEluYnJlZCBDNTdCTDwva2V5d29y
ZD48a2V5d29yZD5Pc3Rlb2NsYXN0cy8qcGh5c2lvbG9neTwva2V5d29yZD48a2V5d29yZD5Pc3Rl
b2dlbmVzaXMvZ2VuZXRpY3MvKnBoeXNpb2xvZ3k8L2tleXdvcmQ+PGtleXdvcmQ+UHJlZ25hbmN5
PC9rZXl3b3JkPjxrZXl3b3JkPlJlcHJlc3NvciBQcm90ZWlucy9tZXRhYm9saXNtPC9rZXl3b3Jk
PjxrZXl3b3JkPlNpZ25hbCBUcmFuc2R1Y3Rpb24vZ2VuZXRpY3MvKnBoeXNpb2xvZ3k8L2tleXdv
cmQ+PGtleXdvcmQ+VHJhbnMtQWN0aXZhdG9ycy9tZXRhYm9saXNtPC9rZXl3b3JkPjxrZXl3b3Jk
PnAzMDAtQ0JQIFRyYW5zY3JpcHRpb24gRmFjdG9yczwva2V5d29yZD48L2tleXdvcmRzPjxkYXRl
cz48eWVhcj4yMDIwPC95ZWFyPjxwdWItZGF0ZXM+PGRhdGU+RGVjPC9kYXRlPjwvcHViLWRhdGVz
PjwvZGF0ZXM+PGlzYm4+MjUyMi01ODEyIChFbGVjdHJvbmljKSYjeEQ7MjUyMi01ODEyIChMaW5r
aW5nKTwvaXNibj48YWNjZXNzaW9uLW51bT4zMzI4ODk1MTwvYWNjZXNzaW9uLW51bT48dXJscz48
cmVsYXRlZC11cmxzPjx1cmw+aHR0cHM6Ly93d3cubmNiaS5ubG0ubmloLmdvdi9wdWJtZWQvMzMy
ODg5NTE8L3VybD48L3JlbGF0ZWQtdXJscz48L3VybHM+PGVsZWN0cm9uaWMtcmVzb3VyY2UtbnVt
PjEwLjEwMzgvczQyMjU1LTAyMC0wMDMxOC15PC9lbGVjdHJvbmljLXJlc291cmNlLW51bT48L3Jl
Y29yZD48L0NpdGU+PC9FbmROb3RlPn==
</w:fldData>
        </w:fldChar>
      </w:r>
      <w:r w:rsidR="00AD51F7">
        <w:rPr>
          <w:rFonts w:ascii="Times New Roman" w:hAnsi="Times New Roman"/>
          <w:noProof/>
          <w:sz w:val="24"/>
          <w:szCs w:val="24"/>
        </w:rPr>
        <w:instrText xml:space="preserve"> ADDIN EN.CITE.DATA </w:instrText>
      </w:r>
      <w:r w:rsidR="00AD51F7">
        <w:rPr>
          <w:rFonts w:ascii="Times New Roman" w:hAnsi="Times New Roman"/>
          <w:noProof/>
          <w:sz w:val="24"/>
          <w:szCs w:val="24"/>
        </w:rPr>
      </w:r>
      <w:r w:rsidR="00AD51F7">
        <w:rPr>
          <w:rFonts w:ascii="Times New Roman" w:hAnsi="Times New Roman"/>
          <w:noProof/>
          <w:sz w:val="24"/>
          <w:szCs w:val="24"/>
        </w:rPr>
        <w:fldChar w:fldCharType="end"/>
      </w:r>
      <w:r>
        <w:rPr>
          <w:rFonts w:ascii="Times New Roman" w:hAnsi="Times New Roman"/>
          <w:noProof/>
          <w:sz w:val="24"/>
          <w:szCs w:val="24"/>
        </w:rPr>
        <w:fldChar w:fldCharType="separate"/>
      </w:r>
      <w:r w:rsidR="00AD51F7" w:rsidRPr="00AD51F7">
        <w:rPr>
          <w:rFonts w:ascii="Times New Roman" w:hAnsi="Times New Roman"/>
          <w:noProof/>
          <w:sz w:val="24"/>
          <w:szCs w:val="24"/>
          <w:vertAlign w:val="superscript"/>
        </w:rPr>
        <w:t>1</w:t>
      </w:r>
      <w:r>
        <w:rPr>
          <w:rFonts w:ascii="Times New Roman" w:hAnsi="Times New Roman"/>
          <w:noProof/>
          <w:sz w:val="24"/>
          <w:szCs w:val="24"/>
        </w:rPr>
        <w:fldChar w:fldCharType="end"/>
      </w:r>
      <w:r w:rsidRPr="00072FA5">
        <w:rPr>
          <w:rFonts w:ascii="Times New Roman" w:hAnsi="Times New Roman"/>
          <w:noProof/>
          <w:sz w:val="24"/>
          <w:szCs w:val="24"/>
        </w:rPr>
        <w:t xml:space="preserve"> on cells treated with OSMI-1 and Thiamet-G (TG), demonstrating stage-specific arrest at early or late stages of osteoclast differentiation with OSMI-1 and TG, respectively. </w:t>
      </w:r>
      <w:r w:rsidRPr="00072FA5">
        <w:rPr>
          <w:rFonts w:ascii="Times New Roman" w:hAnsi="Times New Roman"/>
          <w:noProof/>
          <w:sz w:val="24"/>
          <w:szCs w:val="24"/>
        </w:rPr>
        <w:br w:type="page"/>
      </w:r>
    </w:p>
    <w:p w:rsidR="00550CEF" w:rsidRDefault="00550CEF" w:rsidP="00550CEF">
      <w:pPr>
        <w:spacing w:before="120" w:line="276" w:lineRule="auto"/>
        <w:rPr>
          <w:rFonts w:ascii="Times New Roman" w:hAnsi="Times New Roman"/>
          <w:b/>
          <w:noProof/>
          <w:sz w:val="24"/>
          <w:szCs w:val="24"/>
        </w:rPr>
      </w:pPr>
      <w:r>
        <w:rPr>
          <w:rFonts w:ascii="Times New Roman" w:hAnsi="Times New Roman"/>
          <w:b/>
          <w:noProof/>
          <w:sz w:val="24"/>
          <w:szCs w:val="24"/>
          <w:lang w:eastAsia="en-US"/>
        </w:rPr>
        <w:drawing>
          <wp:inline distT="0" distB="0" distL="0" distR="0" wp14:anchorId="6AE01590" wp14:editId="31A81453">
            <wp:extent cx="5989320" cy="6729984"/>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89320" cy="6729984"/>
                    </a:xfrm>
                    <a:prstGeom prst="rect">
                      <a:avLst/>
                    </a:prstGeom>
                    <a:noFill/>
                  </pic:spPr>
                </pic:pic>
              </a:graphicData>
            </a:graphic>
          </wp:inline>
        </w:drawing>
      </w:r>
    </w:p>
    <w:p w:rsidR="00550CEF" w:rsidRPr="00072FA5" w:rsidRDefault="00550CEF" w:rsidP="00550CEF">
      <w:pPr>
        <w:spacing w:line="276" w:lineRule="auto"/>
        <w:outlineLvl w:val="1"/>
        <w:rPr>
          <w:rFonts w:ascii="Times New Roman" w:hAnsi="Times New Roman"/>
          <w:b/>
          <w:noProof/>
          <w:sz w:val="24"/>
          <w:szCs w:val="24"/>
        </w:rPr>
      </w:pPr>
      <w:r w:rsidRPr="00913CFB">
        <w:rPr>
          <w:rFonts w:ascii="Times New Roman" w:hAnsi="Times New Roman"/>
          <w:b/>
          <w:noProof/>
          <w:sz w:val="24"/>
          <w:szCs w:val="24"/>
        </w:rPr>
        <w:t>Supplementary Fig. 8</w:t>
      </w:r>
      <w:r w:rsidRPr="00072FA5">
        <w:rPr>
          <w:rFonts w:ascii="Times New Roman" w:hAnsi="Times New Roman"/>
          <w:b/>
          <w:noProof/>
          <w:sz w:val="24"/>
          <w:szCs w:val="24"/>
        </w:rPr>
        <w:t xml:space="preserve"> Differential transcriptional changes of OSMI-1 and Thiamet-G in osteoclast precursors.</w:t>
      </w:r>
    </w:p>
    <w:p w:rsidR="00550CEF" w:rsidRPr="00072FA5" w:rsidRDefault="00550CEF" w:rsidP="00550CEF">
      <w:pPr>
        <w:spacing w:before="120" w:line="276" w:lineRule="auto"/>
        <w:rPr>
          <w:rFonts w:ascii="Times New Roman" w:hAnsi="Times New Roman"/>
          <w:sz w:val="24"/>
          <w:szCs w:val="24"/>
        </w:rPr>
      </w:pPr>
      <w:r w:rsidRPr="00072FA5">
        <w:rPr>
          <w:rFonts w:ascii="Times New Roman" w:hAnsi="Times New Roman"/>
          <w:noProof/>
          <w:sz w:val="24"/>
          <w:szCs w:val="24"/>
        </w:rPr>
        <w:t>(</w:t>
      </w:r>
      <w:r w:rsidRPr="00072FA5">
        <w:rPr>
          <w:rFonts w:ascii="Times New Roman" w:hAnsi="Times New Roman"/>
          <w:b/>
          <w:noProof/>
          <w:sz w:val="24"/>
          <w:szCs w:val="24"/>
        </w:rPr>
        <w:t>A and B</w:t>
      </w:r>
      <w:r w:rsidRPr="00072FA5">
        <w:rPr>
          <w:rFonts w:ascii="Times New Roman" w:hAnsi="Times New Roman"/>
          <w:noProof/>
          <w:sz w:val="24"/>
          <w:szCs w:val="24"/>
        </w:rPr>
        <w:t>)</w:t>
      </w:r>
      <w:r w:rsidRPr="00072FA5">
        <w:rPr>
          <w:rFonts w:ascii="Times New Roman" w:hAnsi="Times New Roman"/>
          <w:b/>
          <w:noProof/>
          <w:sz w:val="24"/>
          <w:szCs w:val="24"/>
        </w:rPr>
        <w:t xml:space="preserve"> </w:t>
      </w:r>
      <w:r w:rsidRPr="00072FA5">
        <w:rPr>
          <w:rFonts w:ascii="Times New Roman" w:hAnsi="Times New Roman"/>
          <w:sz w:val="24"/>
          <w:szCs w:val="24"/>
        </w:rPr>
        <w:t xml:space="preserve">Plots of significantly enriched gene sets related to </w:t>
      </w:r>
      <w:proofErr w:type="spellStart"/>
      <w:r w:rsidRPr="00072FA5">
        <w:rPr>
          <w:rFonts w:ascii="Times New Roman" w:hAnsi="Times New Roman"/>
          <w:sz w:val="24"/>
          <w:szCs w:val="24"/>
        </w:rPr>
        <w:t>osteoclastogenesis</w:t>
      </w:r>
      <w:proofErr w:type="spellEnd"/>
      <w:r w:rsidRPr="00072FA5">
        <w:rPr>
          <w:rFonts w:ascii="Times New Roman" w:hAnsi="Times New Roman"/>
          <w:sz w:val="24"/>
          <w:szCs w:val="24"/>
        </w:rPr>
        <w:t xml:space="preserve"> in response to treatment with OSMI-1 </w:t>
      </w:r>
      <w:r w:rsidRPr="00072FA5">
        <w:rPr>
          <w:rFonts w:ascii="Times New Roman" w:hAnsi="Times New Roman"/>
          <w:noProof/>
          <w:sz w:val="24"/>
          <w:szCs w:val="24"/>
        </w:rPr>
        <w:t>(</w:t>
      </w:r>
      <w:r w:rsidRPr="00072FA5">
        <w:rPr>
          <w:rFonts w:ascii="Times New Roman" w:hAnsi="Times New Roman"/>
          <w:b/>
          <w:noProof/>
          <w:sz w:val="24"/>
          <w:szCs w:val="24"/>
        </w:rPr>
        <w:t>A</w:t>
      </w:r>
      <w:r w:rsidRPr="00072FA5">
        <w:rPr>
          <w:rFonts w:ascii="Times New Roman" w:hAnsi="Times New Roman"/>
          <w:noProof/>
          <w:sz w:val="24"/>
          <w:szCs w:val="24"/>
        </w:rPr>
        <w:t>) or</w:t>
      </w:r>
      <w:r w:rsidRPr="00072FA5">
        <w:rPr>
          <w:rFonts w:ascii="Times New Roman" w:hAnsi="Times New Roman"/>
          <w:b/>
          <w:noProof/>
          <w:sz w:val="24"/>
          <w:szCs w:val="24"/>
        </w:rPr>
        <w:t xml:space="preserve"> </w:t>
      </w:r>
      <w:r w:rsidRPr="00072FA5">
        <w:rPr>
          <w:rFonts w:ascii="Times New Roman" w:hAnsi="Times New Roman"/>
          <w:noProof/>
          <w:sz w:val="24"/>
          <w:szCs w:val="24"/>
        </w:rPr>
        <w:t>Thiamet-G</w:t>
      </w:r>
      <w:r w:rsidRPr="00072FA5">
        <w:rPr>
          <w:rFonts w:ascii="Times New Roman" w:hAnsi="Times New Roman"/>
          <w:b/>
          <w:noProof/>
          <w:sz w:val="24"/>
          <w:szCs w:val="24"/>
        </w:rPr>
        <w:t xml:space="preserve"> </w:t>
      </w:r>
      <w:r w:rsidRPr="00072FA5">
        <w:rPr>
          <w:rFonts w:ascii="Times New Roman" w:hAnsi="Times New Roman"/>
          <w:noProof/>
          <w:sz w:val="24"/>
          <w:szCs w:val="24"/>
        </w:rPr>
        <w:t>(</w:t>
      </w:r>
      <w:r w:rsidRPr="00072FA5">
        <w:rPr>
          <w:rFonts w:ascii="Times New Roman" w:hAnsi="Times New Roman"/>
          <w:b/>
          <w:noProof/>
          <w:sz w:val="24"/>
          <w:szCs w:val="24"/>
        </w:rPr>
        <w:t>B</w:t>
      </w:r>
      <w:r w:rsidRPr="00072FA5">
        <w:rPr>
          <w:rFonts w:ascii="Times New Roman" w:hAnsi="Times New Roman"/>
          <w:noProof/>
          <w:sz w:val="24"/>
          <w:szCs w:val="24"/>
        </w:rPr>
        <w:t>) by GSEA</w:t>
      </w:r>
      <w:r w:rsidRPr="00072FA5">
        <w:rPr>
          <w:rFonts w:ascii="Times New Roman" w:hAnsi="Times New Roman"/>
          <w:sz w:val="24"/>
          <w:szCs w:val="24"/>
        </w:rPr>
        <w:t xml:space="preserve">. </w:t>
      </w:r>
      <w:r w:rsidRPr="00072FA5">
        <w:rPr>
          <w:rFonts w:ascii="Times New Roman" w:hAnsi="Times New Roman"/>
          <w:noProof/>
          <w:sz w:val="24"/>
          <w:szCs w:val="24"/>
        </w:rPr>
        <w:t>(</w:t>
      </w:r>
      <w:r w:rsidRPr="00072FA5">
        <w:rPr>
          <w:rFonts w:ascii="Times New Roman" w:hAnsi="Times New Roman"/>
          <w:b/>
          <w:noProof/>
          <w:sz w:val="24"/>
          <w:szCs w:val="24"/>
        </w:rPr>
        <w:t>C and D</w:t>
      </w:r>
      <w:r w:rsidRPr="00072FA5">
        <w:rPr>
          <w:rFonts w:ascii="Times New Roman" w:hAnsi="Times New Roman"/>
          <w:noProof/>
          <w:sz w:val="24"/>
          <w:szCs w:val="24"/>
        </w:rPr>
        <w:t>)</w:t>
      </w:r>
      <w:r w:rsidRPr="00072FA5">
        <w:rPr>
          <w:rFonts w:ascii="Times New Roman" w:hAnsi="Times New Roman"/>
          <w:b/>
          <w:noProof/>
          <w:sz w:val="24"/>
          <w:szCs w:val="24"/>
        </w:rPr>
        <w:t xml:space="preserve"> </w:t>
      </w:r>
      <w:r w:rsidRPr="00072FA5">
        <w:rPr>
          <w:rFonts w:ascii="Times New Roman" w:hAnsi="Times New Roman"/>
          <w:sz w:val="24"/>
          <w:szCs w:val="24"/>
        </w:rPr>
        <w:t>GSEA enrichment plots for genes up- or downregulated in human macrophages obtained from synovial fluid of inflamed joints of patients with RA (GSE10500)</w:t>
      </w:r>
      <w:r w:rsidRPr="00072FA5">
        <w:rPr>
          <w:rFonts w:ascii="Times New Roman" w:hAnsi="Times New Roman"/>
          <w:sz w:val="24"/>
          <w:lang w:eastAsia="zh-CN"/>
        </w:rPr>
        <w:t xml:space="preserve"> </w:t>
      </w:r>
      <w:r w:rsidRPr="006601DD">
        <w:rPr>
          <w:rFonts w:ascii="Times New Roman" w:hAnsi="Times New Roman"/>
          <w:sz w:val="24"/>
          <w:lang w:eastAsia="zh-CN"/>
        </w:rPr>
        <w:fldChar w:fldCharType="begin">
          <w:fldData xml:space="preserve">PEVuZE5vdGU+PENpdGU+PEF1dGhvcj5ZYXJpbGluYTwvQXV0aG9yPjxZZWFyPjIwMDg8L1llYXI+
PFJlY051bT44MDwvUmVjTnVtPjxEaXNwbGF5VGV4dD48c3R5bGUgZmFjZT0ic3VwZXJzY3JpcHQi
PjI8L3N0eWxlPjwvRGlzcGxheVRleHQ+PHJlY29yZD48cmVjLW51bWJlcj44MDwvcmVjLW51bWJl
cj48Zm9yZWlnbi1rZXlzPjxrZXkgYXBwPSJFTiIgZGItaWQ9IndyZmRzd3ZyNnBkeHNhZWZycHJw
MnI1ZmZyMHp6OWR6ZXZ4ZCIgdGltZXN0YW1wPSIxNTg3MzkwNjczIj44MDwva2V5PjwvZm9yZWln
bi1rZXlzPjxyZWYtdHlwZSBuYW1lPSJKb3VybmFsIEFydGljbGUiPjE3PC9yZWYtdHlwZT48Y29u
dHJpYnV0b3JzPjxhdXRob3JzPjxhdXRob3I+WWFyaWxpbmEsIEEuPC9hdXRob3I+PGF1dGhvcj5Q
YXJrLU1pbiwgSy4gSC48L2F1dGhvcj48YXV0aG9yPkFudG9uaXYsIFQuPC9hdXRob3I+PGF1dGhv
cj5IdSwgWC48L2F1dGhvcj48YXV0aG9yPkl2YXNoa2l2LCBMLiBCLjwvYXV0aG9yPjwvYXV0aG9y
cz48L2NvbnRyaWJ1dG9ycz48YXV0aC1hZGRyZXNzPkFydGhyaXRpcyBhbmQgVGlzc3VlIERlZ2Vu
ZXJhdGlvbiBQcm9ncmFtLCBIb3NwaXRhbCBmb3IgU3BlY2lhbCBTdXJnZXJ5LCBOZXcgWW9yaywg
TmV3IFlvcmsgMTAwMjEsIFVTQS48L2F1dGgtYWRkcmVzcz48dGl0bGVzPjx0aXRsZT5UTkYgYWN0
aXZhdGVzIGFuIElSRjEtZGVwZW5kZW50IGF1dG9jcmluZSBsb29wIGxlYWRpbmcgdG8gc3VzdGFp
bmVkIGV4cHJlc3Npb24gb2YgY2hlbW9raW5lcyBhbmQgU1RBVDEtZGVwZW5kZW50IHR5cGUgSSBp
bnRlcmZlcm9uLXJlc3BvbnNlIGdlbmVzPC90aXRsZT48c2Vjb25kYXJ5LXRpdGxlPk5hdCBJbW11
bm9sPC9zZWNvbmRhcnktdGl0bGU+PC90aXRsZXM+PHBlcmlvZGljYWw+PGZ1bGwtdGl0bGU+TmF0
IEltbXVub2w8L2Z1bGwtdGl0bGU+PC9wZXJpb2RpY2FsPjxwYWdlcz4zNzgtODc8L3BhZ2VzPjx2
b2x1bWU+OTwvdm9sdW1lPjxudW1iZXI+NDwvbnVtYmVyPjxlZGl0aW9uPjIwMDgvMDMvMTg8L2Vk
aXRpb24+PGtleXdvcmRzPjxrZXl3b3JkPkFuaW1hbHM8L2tleXdvcmQ+PGtleXdvcmQ+QXV0b2Ny
aW5lIENvbW11bmljYXRpb24vKmltbXVub2xvZ3k8L2tleXdvcmQ+PGtleXdvcmQ+Q2hlbW9raW5l
cy8qYmlvc3ludGhlc2lzLypnZW5ldGljczwva2V5d29yZD48a2V5d29yZD5HZW5lIEV4cHJlc3Np
b24gUmVndWxhdGlvbi8qaW1tdW5vbG9neTwva2V5d29yZD48a2V5d29yZD5IdW1hbnM8L2tleXdv
cmQ+PGtleXdvcmQ+SW5mbGFtbWF0aW9uIE1lZGlhdG9ycy9waHlzaW9sb2d5PC9rZXl3b3JkPjxr
ZXl3b3JkPkludGVyZmVyb24gUmVndWxhdG9yeSBGYWN0b3ItMS8qbWV0YWJvbGlzbS9waHlzaW9s
b2d5PC9rZXl3b3JkPjxrZXl3b3JkPkludGVyZmVyb24gVHlwZSBJL2Jpb3N5bnRoZXNpcy8qZ2Vu
ZXRpY3MvcGh5c2lvbG9neTwva2V5d29yZD48a2V5d29yZD5JbnRlcmZlcm9uLWJldGEvYmlvc3lu
dGhlc2lzL2dlbmV0aWNzL3BoeXNpb2xvZ3k8L2tleXdvcmQ+PGtleXdvcmQ+TWFjcm9waGFnZXMv
bWV0YWJvbGlzbS9wYXRob2xvZ3k8L2tleXdvcmQ+PGtleXdvcmQ+TWljZTwva2V5d29yZD48a2V5
d29yZD5TVEFUMSBUcmFuc2NyaXB0aW9uIEZhY3Rvci8qcGh5c2lvbG9neTwva2V5d29yZD48a2V5
d29yZD5UaW1lIEZhY3RvcnM8L2tleXdvcmQ+PGtleXdvcmQ+VHVtb3IgTmVjcm9zaXMgRmFjdG9y
LWFscGhhLypwaHlzaW9sb2d5PC9rZXl3b3JkPjwva2V5d29yZHM+PGRhdGVzPjx5ZWFyPjIwMDg8
L3llYXI+PHB1Yi1kYXRlcz48ZGF0ZT5BcHI8L2RhdGU+PC9wdWItZGF0ZXM+PC9kYXRlcz48aXNi
bj4xNTI5LTI5MTYgKEVsZWN0cm9uaWMpJiN4RDsxNTI5LTI5MDggKExpbmtpbmcpPC9pc2JuPjxh
Y2Nlc3Npb24tbnVtPjE4MzQ1MDAyPC9hY2Nlc3Npb24tbnVtPjx1cmxzPjxyZWxhdGVkLXVybHM+
PHVybD5odHRwczovL3d3dy5uY2JpLm5sbS5uaWguZ292L3B1Ym1lZC8xODM0NTAwMjwvdXJsPjwv
cmVsYXRlZC11cmxzPjwvdXJscz48ZWxlY3Ryb25pYy1yZXNvdXJjZS1udW0+MTAuMTAzOC9uaTE1
NzY8L2VsZWN0cm9uaWMtcmVzb3VyY2UtbnVtPjwvcmVjb3JkPjwvQ2l0ZT48L0VuZE5vdGU+
</w:fldData>
        </w:fldChar>
      </w:r>
      <w:r w:rsidR="00AD51F7">
        <w:rPr>
          <w:rFonts w:ascii="Times New Roman" w:hAnsi="Times New Roman"/>
          <w:sz w:val="24"/>
          <w:lang w:eastAsia="zh-CN"/>
        </w:rPr>
        <w:instrText xml:space="preserve"> ADDIN EN.CITE </w:instrText>
      </w:r>
      <w:r w:rsidR="00AD51F7">
        <w:rPr>
          <w:rFonts w:ascii="Times New Roman" w:hAnsi="Times New Roman"/>
          <w:sz w:val="24"/>
          <w:lang w:eastAsia="zh-CN"/>
        </w:rPr>
        <w:fldChar w:fldCharType="begin">
          <w:fldData xml:space="preserve">PEVuZE5vdGU+PENpdGU+PEF1dGhvcj5ZYXJpbGluYTwvQXV0aG9yPjxZZWFyPjIwMDg8L1llYXI+
PFJlY051bT44MDwvUmVjTnVtPjxEaXNwbGF5VGV4dD48c3R5bGUgZmFjZT0ic3VwZXJzY3JpcHQi
PjI8L3N0eWxlPjwvRGlzcGxheVRleHQ+PHJlY29yZD48cmVjLW51bWJlcj44MDwvcmVjLW51bWJl
cj48Zm9yZWlnbi1rZXlzPjxrZXkgYXBwPSJFTiIgZGItaWQ9IndyZmRzd3ZyNnBkeHNhZWZycHJw
MnI1ZmZyMHp6OWR6ZXZ4ZCIgdGltZXN0YW1wPSIxNTg3MzkwNjczIj44MDwva2V5PjwvZm9yZWln
bi1rZXlzPjxyZWYtdHlwZSBuYW1lPSJKb3VybmFsIEFydGljbGUiPjE3PC9yZWYtdHlwZT48Y29u
dHJpYnV0b3JzPjxhdXRob3JzPjxhdXRob3I+WWFyaWxpbmEsIEEuPC9hdXRob3I+PGF1dGhvcj5Q
YXJrLU1pbiwgSy4gSC48L2F1dGhvcj48YXV0aG9yPkFudG9uaXYsIFQuPC9hdXRob3I+PGF1dGhv
cj5IdSwgWC48L2F1dGhvcj48YXV0aG9yPkl2YXNoa2l2LCBMLiBCLjwvYXV0aG9yPjwvYXV0aG9y
cz48L2NvbnRyaWJ1dG9ycz48YXV0aC1hZGRyZXNzPkFydGhyaXRpcyBhbmQgVGlzc3VlIERlZ2Vu
ZXJhdGlvbiBQcm9ncmFtLCBIb3NwaXRhbCBmb3IgU3BlY2lhbCBTdXJnZXJ5LCBOZXcgWW9yaywg
TmV3IFlvcmsgMTAwMjEsIFVTQS48L2F1dGgtYWRkcmVzcz48dGl0bGVzPjx0aXRsZT5UTkYgYWN0
aXZhdGVzIGFuIElSRjEtZGVwZW5kZW50IGF1dG9jcmluZSBsb29wIGxlYWRpbmcgdG8gc3VzdGFp
bmVkIGV4cHJlc3Npb24gb2YgY2hlbW9raW5lcyBhbmQgU1RBVDEtZGVwZW5kZW50IHR5cGUgSSBp
bnRlcmZlcm9uLXJlc3BvbnNlIGdlbmVzPC90aXRsZT48c2Vjb25kYXJ5LXRpdGxlPk5hdCBJbW11
bm9sPC9zZWNvbmRhcnktdGl0bGU+PC90aXRsZXM+PHBlcmlvZGljYWw+PGZ1bGwtdGl0bGU+TmF0
IEltbXVub2w8L2Z1bGwtdGl0bGU+PC9wZXJpb2RpY2FsPjxwYWdlcz4zNzgtODc8L3BhZ2VzPjx2
b2x1bWU+OTwvdm9sdW1lPjxudW1iZXI+NDwvbnVtYmVyPjxlZGl0aW9uPjIwMDgvMDMvMTg8L2Vk
aXRpb24+PGtleXdvcmRzPjxrZXl3b3JkPkFuaW1hbHM8L2tleXdvcmQ+PGtleXdvcmQ+QXV0b2Ny
aW5lIENvbW11bmljYXRpb24vKmltbXVub2xvZ3k8L2tleXdvcmQ+PGtleXdvcmQ+Q2hlbW9raW5l
cy8qYmlvc3ludGhlc2lzLypnZW5ldGljczwva2V5d29yZD48a2V5d29yZD5HZW5lIEV4cHJlc3Np
b24gUmVndWxhdGlvbi8qaW1tdW5vbG9neTwva2V5d29yZD48a2V5d29yZD5IdW1hbnM8L2tleXdv
cmQ+PGtleXdvcmQ+SW5mbGFtbWF0aW9uIE1lZGlhdG9ycy9waHlzaW9sb2d5PC9rZXl3b3JkPjxr
ZXl3b3JkPkludGVyZmVyb24gUmVndWxhdG9yeSBGYWN0b3ItMS8qbWV0YWJvbGlzbS9waHlzaW9s
b2d5PC9rZXl3b3JkPjxrZXl3b3JkPkludGVyZmVyb24gVHlwZSBJL2Jpb3N5bnRoZXNpcy8qZ2Vu
ZXRpY3MvcGh5c2lvbG9neTwva2V5d29yZD48a2V5d29yZD5JbnRlcmZlcm9uLWJldGEvYmlvc3lu
dGhlc2lzL2dlbmV0aWNzL3BoeXNpb2xvZ3k8L2tleXdvcmQ+PGtleXdvcmQ+TWFjcm9waGFnZXMv
bWV0YWJvbGlzbS9wYXRob2xvZ3k8L2tleXdvcmQ+PGtleXdvcmQ+TWljZTwva2V5d29yZD48a2V5
d29yZD5TVEFUMSBUcmFuc2NyaXB0aW9uIEZhY3Rvci8qcGh5c2lvbG9neTwva2V5d29yZD48a2V5
d29yZD5UaW1lIEZhY3RvcnM8L2tleXdvcmQ+PGtleXdvcmQ+VHVtb3IgTmVjcm9zaXMgRmFjdG9y
LWFscGhhLypwaHlzaW9sb2d5PC9rZXl3b3JkPjwva2V5d29yZHM+PGRhdGVzPjx5ZWFyPjIwMDg8
L3llYXI+PHB1Yi1kYXRlcz48ZGF0ZT5BcHI8L2RhdGU+PC9wdWItZGF0ZXM+PC9kYXRlcz48aXNi
bj4xNTI5LTI5MTYgKEVsZWN0cm9uaWMpJiN4RDsxNTI5LTI5MDggKExpbmtpbmcpPC9pc2JuPjxh
Y2Nlc3Npb24tbnVtPjE4MzQ1MDAyPC9hY2Nlc3Npb24tbnVtPjx1cmxzPjxyZWxhdGVkLXVybHM+
PHVybD5odHRwczovL3d3dy5uY2JpLm5sbS5uaWguZ292L3B1Ym1lZC8xODM0NTAwMjwvdXJsPjwv
cmVsYXRlZC11cmxzPjwvdXJscz48ZWxlY3Ryb25pYy1yZXNvdXJjZS1udW0+MTAuMTAzOC9uaTE1
NzY8L2VsZWN0cm9uaWMtcmVzb3VyY2UtbnVtPjwvcmVjb3JkPjwvQ2l0ZT48L0VuZE5vdGU+
</w:fldData>
        </w:fldChar>
      </w:r>
      <w:r w:rsidR="00AD51F7">
        <w:rPr>
          <w:rFonts w:ascii="Times New Roman" w:hAnsi="Times New Roman"/>
          <w:sz w:val="24"/>
          <w:lang w:eastAsia="zh-CN"/>
        </w:rPr>
        <w:instrText xml:space="preserve"> ADDIN EN.CITE.DATA </w:instrText>
      </w:r>
      <w:r w:rsidR="00AD51F7">
        <w:rPr>
          <w:rFonts w:ascii="Times New Roman" w:hAnsi="Times New Roman"/>
          <w:sz w:val="24"/>
          <w:lang w:eastAsia="zh-CN"/>
        </w:rPr>
      </w:r>
      <w:r w:rsidR="00AD51F7">
        <w:rPr>
          <w:rFonts w:ascii="Times New Roman" w:hAnsi="Times New Roman"/>
          <w:sz w:val="24"/>
          <w:lang w:eastAsia="zh-CN"/>
        </w:rPr>
        <w:fldChar w:fldCharType="end"/>
      </w:r>
      <w:r w:rsidRPr="006601DD">
        <w:rPr>
          <w:rFonts w:ascii="Times New Roman" w:hAnsi="Times New Roman"/>
          <w:sz w:val="24"/>
          <w:lang w:eastAsia="zh-CN"/>
        </w:rPr>
        <w:fldChar w:fldCharType="separate"/>
      </w:r>
      <w:r w:rsidR="00AD51F7" w:rsidRPr="00AD51F7">
        <w:rPr>
          <w:rFonts w:ascii="Times New Roman" w:hAnsi="Times New Roman"/>
          <w:noProof/>
          <w:sz w:val="24"/>
          <w:vertAlign w:val="superscript"/>
          <w:lang w:eastAsia="zh-CN"/>
        </w:rPr>
        <w:t>2</w:t>
      </w:r>
      <w:r w:rsidRPr="006601DD">
        <w:rPr>
          <w:rFonts w:ascii="Times New Roman" w:hAnsi="Times New Roman"/>
          <w:sz w:val="24"/>
          <w:lang w:eastAsia="zh-CN"/>
        </w:rPr>
        <w:fldChar w:fldCharType="end"/>
      </w:r>
      <w:r w:rsidRPr="00072FA5">
        <w:rPr>
          <w:rFonts w:ascii="Times New Roman" w:hAnsi="Times New Roman"/>
          <w:sz w:val="24"/>
          <w:szCs w:val="24"/>
        </w:rPr>
        <w:t xml:space="preserve"> for OSMI-1 </w:t>
      </w:r>
      <w:r w:rsidRPr="00072FA5">
        <w:rPr>
          <w:rFonts w:ascii="Times New Roman" w:hAnsi="Times New Roman"/>
          <w:noProof/>
          <w:sz w:val="24"/>
          <w:szCs w:val="24"/>
        </w:rPr>
        <w:t>(</w:t>
      </w:r>
      <w:r w:rsidRPr="00072FA5">
        <w:rPr>
          <w:rFonts w:ascii="Times New Roman" w:hAnsi="Times New Roman"/>
          <w:b/>
          <w:noProof/>
          <w:sz w:val="24"/>
          <w:szCs w:val="24"/>
        </w:rPr>
        <w:t>C</w:t>
      </w:r>
      <w:r w:rsidRPr="00072FA5">
        <w:rPr>
          <w:rFonts w:ascii="Times New Roman" w:hAnsi="Times New Roman"/>
          <w:noProof/>
          <w:sz w:val="24"/>
          <w:szCs w:val="24"/>
        </w:rPr>
        <w:t>) and</w:t>
      </w:r>
      <w:r w:rsidRPr="00072FA5">
        <w:rPr>
          <w:rFonts w:ascii="Times New Roman" w:hAnsi="Times New Roman"/>
          <w:b/>
          <w:noProof/>
          <w:sz w:val="24"/>
          <w:szCs w:val="24"/>
        </w:rPr>
        <w:t xml:space="preserve"> </w:t>
      </w:r>
      <w:r w:rsidRPr="00072FA5">
        <w:rPr>
          <w:rFonts w:ascii="Times New Roman" w:hAnsi="Times New Roman"/>
          <w:noProof/>
          <w:sz w:val="24"/>
          <w:szCs w:val="24"/>
        </w:rPr>
        <w:t>Thiamet-G</w:t>
      </w:r>
      <w:r w:rsidRPr="00072FA5">
        <w:rPr>
          <w:rFonts w:ascii="Times New Roman" w:hAnsi="Times New Roman"/>
          <w:b/>
          <w:noProof/>
          <w:sz w:val="24"/>
          <w:szCs w:val="24"/>
        </w:rPr>
        <w:t xml:space="preserve"> </w:t>
      </w:r>
      <w:r w:rsidRPr="00072FA5">
        <w:rPr>
          <w:rFonts w:ascii="Times New Roman" w:hAnsi="Times New Roman"/>
          <w:noProof/>
          <w:sz w:val="24"/>
          <w:szCs w:val="24"/>
        </w:rPr>
        <w:t>(</w:t>
      </w:r>
      <w:r w:rsidRPr="00072FA5">
        <w:rPr>
          <w:rFonts w:ascii="Times New Roman" w:hAnsi="Times New Roman"/>
          <w:b/>
          <w:noProof/>
          <w:sz w:val="24"/>
          <w:szCs w:val="24"/>
        </w:rPr>
        <w:t>D</w:t>
      </w:r>
      <w:r w:rsidRPr="00072FA5">
        <w:rPr>
          <w:rFonts w:ascii="Times New Roman" w:hAnsi="Times New Roman"/>
          <w:noProof/>
          <w:sz w:val="24"/>
          <w:szCs w:val="24"/>
        </w:rPr>
        <w:t>) treated cells</w:t>
      </w:r>
      <w:r w:rsidRPr="00072FA5">
        <w:rPr>
          <w:rFonts w:ascii="Times New Roman" w:hAnsi="Times New Roman"/>
          <w:sz w:val="24"/>
          <w:szCs w:val="24"/>
        </w:rPr>
        <w:t>.</w:t>
      </w:r>
    </w:p>
    <w:p w:rsidR="00550CEF" w:rsidRDefault="00550CEF" w:rsidP="00550CEF">
      <w:pPr>
        <w:jc w:val="center"/>
        <w:rPr>
          <w:rFonts w:ascii="Times New Roman" w:hAnsi="Times New Roman"/>
          <w:b/>
          <w:noProof/>
          <w:sz w:val="24"/>
          <w:szCs w:val="24"/>
        </w:rPr>
      </w:pPr>
      <w:r>
        <w:rPr>
          <w:rFonts w:ascii="Times New Roman" w:hAnsi="Times New Roman"/>
          <w:b/>
          <w:noProof/>
          <w:sz w:val="24"/>
          <w:szCs w:val="24"/>
          <w:lang w:eastAsia="en-US"/>
        </w:rPr>
        <w:drawing>
          <wp:inline distT="0" distB="0" distL="0" distR="0" wp14:anchorId="182073EB" wp14:editId="300BC7F4">
            <wp:extent cx="5989320" cy="8850641"/>
            <wp:effectExtent l="0" t="0" r="0" b="762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89320" cy="8850641"/>
                    </a:xfrm>
                    <a:prstGeom prst="rect">
                      <a:avLst/>
                    </a:prstGeom>
                    <a:noFill/>
                  </pic:spPr>
                </pic:pic>
              </a:graphicData>
            </a:graphic>
          </wp:inline>
        </w:drawing>
      </w:r>
    </w:p>
    <w:p w:rsidR="00550CEF" w:rsidRPr="00913CFB" w:rsidRDefault="00550CEF" w:rsidP="00550CEF">
      <w:pPr>
        <w:spacing w:before="120" w:line="276" w:lineRule="auto"/>
        <w:outlineLvl w:val="1"/>
        <w:rPr>
          <w:rFonts w:ascii="Times New Roman" w:hAnsi="Times New Roman"/>
          <w:b/>
          <w:noProof/>
          <w:sz w:val="24"/>
          <w:szCs w:val="24"/>
        </w:rPr>
      </w:pPr>
      <w:r w:rsidRPr="00913CFB">
        <w:rPr>
          <w:rFonts w:ascii="Times New Roman" w:hAnsi="Times New Roman"/>
          <w:b/>
          <w:noProof/>
          <w:sz w:val="24"/>
          <w:szCs w:val="24"/>
        </w:rPr>
        <w:t xml:space="preserve">Supplementary Fig. 9 Bioinformatic analyses of IPA predicted transcription regulators. </w:t>
      </w:r>
    </w:p>
    <w:p w:rsidR="00550CEF" w:rsidRPr="00072FA5" w:rsidRDefault="00550CEF" w:rsidP="00550CEF">
      <w:pPr>
        <w:spacing w:before="120" w:line="276" w:lineRule="auto"/>
        <w:rPr>
          <w:rFonts w:ascii="Times New Roman" w:hAnsi="Times New Roman"/>
          <w:noProof/>
          <w:sz w:val="24"/>
          <w:szCs w:val="24"/>
        </w:rPr>
      </w:pPr>
      <w:r w:rsidRPr="00913CFB">
        <w:rPr>
          <w:rFonts w:ascii="Times New Roman" w:hAnsi="Times New Roman"/>
          <w:noProof/>
          <w:sz w:val="24"/>
          <w:szCs w:val="24"/>
        </w:rPr>
        <w:t>(</w:t>
      </w:r>
      <w:r w:rsidRPr="00913CFB">
        <w:rPr>
          <w:rFonts w:ascii="Times New Roman" w:hAnsi="Times New Roman"/>
          <w:b/>
          <w:noProof/>
          <w:sz w:val="24"/>
          <w:szCs w:val="24"/>
        </w:rPr>
        <w:t>A</w:t>
      </w:r>
      <w:r w:rsidRPr="00913CFB">
        <w:rPr>
          <w:rFonts w:ascii="Times New Roman" w:hAnsi="Times New Roman"/>
          <w:noProof/>
          <w:sz w:val="24"/>
          <w:szCs w:val="24"/>
        </w:rPr>
        <w:t>) Potential upstream transcriptional regulators of the DEGs in OSMI-1 treated cells using IPA. (</w:t>
      </w:r>
      <w:r w:rsidRPr="00913CFB">
        <w:rPr>
          <w:rFonts w:ascii="Times New Roman" w:hAnsi="Times New Roman"/>
          <w:b/>
          <w:noProof/>
          <w:sz w:val="24"/>
          <w:szCs w:val="24"/>
        </w:rPr>
        <w:t>B</w:t>
      </w:r>
      <w:r w:rsidRPr="00913CFB">
        <w:rPr>
          <w:rFonts w:ascii="Times New Roman" w:hAnsi="Times New Roman"/>
          <w:noProof/>
          <w:sz w:val="24"/>
          <w:szCs w:val="24"/>
        </w:rPr>
        <w:t>) Expression heatmap of the respective transcription regulators. The genes without significant changes in mRNA levels are highlighted with red arrows. (</w:t>
      </w:r>
      <w:r w:rsidRPr="00913CFB">
        <w:rPr>
          <w:rFonts w:ascii="Times New Roman" w:hAnsi="Times New Roman"/>
          <w:b/>
          <w:noProof/>
          <w:sz w:val="24"/>
          <w:szCs w:val="24"/>
        </w:rPr>
        <w:t>C</w:t>
      </w:r>
      <w:r w:rsidRPr="00913CFB">
        <w:rPr>
          <w:rFonts w:ascii="Times New Roman" w:hAnsi="Times New Roman"/>
          <w:noProof/>
          <w:sz w:val="24"/>
          <w:szCs w:val="24"/>
        </w:rPr>
        <w:t>) Enrichment analyses for the motifs of transcription regulators in DEG upstream sequences. (</w:t>
      </w:r>
      <w:r w:rsidRPr="00913CFB">
        <w:rPr>
          <w:rFonts w:ascii="Times New Roman" w:hAnsi="Times New Roman"/>
          <w:b/>
          <w:noProof/>
          <w:sz w:val="24"/>
          <w:szCs w:val="24"/>
        </w:rPr>
        <w:t>D</w:t>
      </w:r>
      <w:r w:rsidRPr="00913CFB">
        <w:rPr>
          <w:rFonts w:ascii="Times New Roman" w:hAnsi="Times New Roman"/>
          <w:noProof/>
          <w:sz w:val="24"/>
          <w:szCs w:val="24"/>
        </w:rPr>
        <w:t>) GSEA enrichment plot of genes regulated by MYC for OSMI-1 treated osteoclast precursors. (</w:t>
      </w:r>
      <w:r w:rsidRPr="00913CFB">
        <w:rPr>
          <w:rFonts w:ascii="Times New Roman" w:hAnsi="Times New Roman"/>
          <w:b/>
          <w:noProof/>
          <w:sz w:val="24"/>
          <w:szCs w:val="24"/>
        </w:rPr>
        <w:t>E</w:t>
      </w:r>
      <w:r w:rsidRPr="00913CFB">
        <w:rPr>
          <w:rFonts w:ascii="Times New Roman" w:hAnsi="Times New Roman"/>
          <w:noProof/>
          <w:sz w:val="24"/>
          <w:szCs w:val="24"/>
        </w:rPr>
        <w:t>) Geneset functional analysis plots for GO biological process terms that overlap between OSMI-1 treated osteoclasts and osteoclasts with MYC knockout (accession number SRP096890)</w:t>
      </w:r>
      <w:r w:rsidRPr="00913CFB">
        <w:rPr>
          <w:rFonts w:ascii="Times New Roman" w:hAnsi="Times New Roman"/>
          <w:noProof/>
          <w:sz w:val="24"/>
          <w:szCs w:val="24"/>
        </w:rPr>
        <w:fldChar w:fldCharType="begin">
          <w:fldData xml:space="preserve">PEVuZE5vdGU+PENpdGU+PEF1dGhvcj5CYWU8L0F1dGhvcj48WWVhcj4yMDE3PC9ZZWFyPjxSZWNO
dW0+ODwvUmVjTnVtPjxEaXNwbGF5VGV4dD48c3R5bGUgZmFjZT0ic3VwZXJzY3JpcHQiPjM8L3N0
eWxlPjwvRGlzcGxheVRleHQ+PHJlY29yZD48cmVjLW51bWJlcj44PC9yZWMtbnVtYmVyPjxmb3Jl
aWduLWtleXM+PGtleSBhcHA9IkVOIiBkYi1pZD0id3JmZHN3dnI2cGR4c2FlZnJwcnAycjVmZnIw
eno5ZHpldnhkIiB0aW1lc3RhbXA9IjE1ODU3NDI4MTciPjg8L2tleT48L2ZvcmVpZ24ta2V5cz48
cmVmLXR5cGUgbmFtZT0iSm91cm5hbCBBcnRpY2xlIj4xNzwvcmVmLXR5cGU+PGNvbnRyaWJ1dG9y
cz48YXV0aG9ycz48YXV0aG9yPkJhZSwgUy48L2F1dGhvcj48YXV0aG9yPkxlZSwgTS4gSi48L2F1
dGhvcj48YXV0aG9yPk11biwgUy4gSC48L2F1dGhvcj48YXV0aG9yPkdpYW5ub3BvdWxvdSwgRS4g
Ry48L2F1dGhvcj48YXV0aG9yPllvbmctR29uemFsZXosIFYuPC9hdXRob3I+PGF1dGhvcj5Dcm9z
cywgSi4gUi48L2F1dGhvcj48YXV0aG9yPk11cmF0YSwgSy48L2F1dGhvcj48YXV0aG9yPkdpZ3Vl
cmUsIFYuPC9hdXRob3I+PGF1dGhvcj52YW4gZGVyIE1ldWxlbiwgTS48L2F1dGhvcj48YXV0aG9y
PlBhcmstTWluLCBLLiBILjwvYXV0aG9yPjwvYXV0aG9ycz48L2NvbnRyaWJ1dG9ycz48YXV0aC1h
ZGRyZXNzPkFydGhyaXRpcyBhbmQgVGlzc3VlIERlZ2VuZXJhdGlvbiBQcm9ncmFtLCBEYXZpZCBa
LiBSb3NlbnN3ZWlnIEdlbm9taWNzIFJlc2VhcmNoIENlbnRlciwgSG9zcGl0YWwgZm9yIFNwZWNp
YWwgU3VyZ2VyeSwgTmV3IFlvcmssIE5ldyBZb3JrLCBVU0EuJiN4RDtCaW9sb2dpY2FsIFNjaWVu
Y2VzIERlcGFydG1lbnQsIE5ldyBZb3JrIENpdHkgQ29sbGVnZSBvZiBUZWNobm9sb2d5LCBDaXR5
IFVuaXZlcnNpdHkgb2YgTmV3IFlvcmssIEJyb29rbHluLCBOZXcgWW9yaywgVVNBLiYjeEQ7RG9u
YWxkIEIuIGFuZCBDYXRoZXJpbmUgQy4gTWFycm9uIENhbmNlciBNZXRhYm9saXNtIENlbnRlciwg
TWVtb3JpYWwgU2xvYW4gS2V0dGVyaW5nIENhbmNlciBDZW50ZXIsIE5ldyBZb3JrLCBOZXcgWW9y
aywgVVNBLiYjeEQ7R29vZG1hbiBDYW5jZXIgUmVzZWFyY2ggQ2VudHJlLCBNY0dpbGwgVW5pdmVy
c2l0eSwgTW9udHJlYWwsIENhbmFkYTsgRGVwYXJ0bWVudHMgb2YgQmlvY2hlbWlzdHJ5LCBNZWRp
Y2luZSBhbmQgT25jb2xvZ3ksIE1jR2lsbCBVbml2ZXJzaXR5LCBNb250cmVhbCwgQ2FuYWRhLiYj
eEQ7U2libGV5IFNjaG9vbCBvZiBNZWNoYW5pY2FsIGFuZCBBZXJvc3BhY2UgRW5naW5lZXJpbmcs
IENvcm5lbGwgVW5pdmVyc2l0eSwgSXRoYWNhLCBOZXcgWW9yaywgVVNBLiYjeEQ7TXVzY3Vsb3Nr
ZWxldGFsIEludGVncml0eSBQcm9ncmFtLCBIb3NwaXRhbCBmb3IgU3BlY2lhbCBTdXJnZXJ5LCBO
ZXcgWW9yaywgTmV3IFlvcmssIFVTQS4mI3hEO0RlcGFydG1lbnQgb2YgTWVkaWNpbmUsIFdlaWxs
IENvcm5lbGwgTWVkaWNhbCBDb2xsZWdlLCBOZXcgWW9yaywgTmV3IFlvcmssIFVTQS48L2F1dGgt
YWRkcmVzcz48dGl0bGVzPjx0aXRsZT5NWUMtZGVwZW5kZW50IG94aWRhdGl2ZSBtZXRhYm9saXNt
IHJlZ3VsYXRlcyBvc3Rlb2NsYXN0b2dlbmVzaXMgdmlhIG51Y2xlYXIgcmVjZXB0b3IgRVJSYWxw
aGE8L3RpdGxlPjxzZWNvbmRhcnktdGl0bGU+SiBDbGluIEludmVzdDwvc2Vjb25kYXJ5LXRpdGxl
PjwvdGl0bGVzPjxwZXJpb2RpY2FsPjxmdWxsLXRpdGxlPkogQ2xpbiBJbnZlc3Q8L2Z1bGwtdGl0
bGU+PC9wZXJpb2RpY2FsPjxwYWdlcz4yNTU1LTI1Njg8L3BhZ2VzPjx2b2x1bWU+MTI3PC92b2x1
bWU+PG51bWJlcj43PC9udW1iZXI+PGVkaXRpb24+MjAxNy8wNS8yMzwvZWRpdGlvbj48a2V5d29y
ZHM+PGtleXdvcmQ+QW5pbWFsczwva2V5d29yZD48a2V5d29yZD4qQ2VsbCBEaWZmZXJlbnRpYXRp
b248L2tleXdvcmQ+PGtleXdvcmQ+RmVtYWxlPC9rZXl3b3JkPjxrZXl3b3JkPkh1bWFuczwva2V5
d29yZD48a2V5d29yZD5NYWxlPC9rZXl3b3JkPjxrZXl3b3JkPk1pY2U8L2tleXdvcmQ+PGtleXdv
cmQ+TWljZSwgS25vY2tvdXQ8L2tleXdvcmQ+PGtleXdvcmQ+T3N0ZW9jbGFzdHMvKm1ldGFib2xp
c20vcGF0aG9sb2d5PC9rZXl3b3JkPjxrZXl3b3JkPk9zdGVvcG9yb3Npcy9nZW5ldGljcy8qbWV0
YWJvbGlzbS9wYXRob2xvZ3kvdGhlcmFweTwva2V5d29yZD48a2V5d29yZD5Qcm90by1PbmNvZ2Vu
ZSBQcm90ZWlucyBjLW15Yy9nZW5ldGljcy8qbWV0YWJvbGlzbTwva2V5d29yZD48a2V5d29yZD5S
ZWNlcHRvcnMsIEVzdHJvZ2VuL2dlbmV0aWNzLyptZXRhYm9saXNtPC9rZXl3b3JkPjxrZXl3b3Jk
PipTaWduYWwgVHJhbnNkdWN0aW9uPC9rZXl3b3JkPjxrZXl3b3JkPlRyYW5zY3JpcHRvbWU8L2tl
eXdvcmQ+PC9rZXl3b3Jkcz48ZGF0ZXM+PHllYXI+MjAxNzwveWVhcj48cHViLWRhdGVzPjxkYXRl
Pkp1biAzMDwvZGF0ZT48L3B1Yi1kYXRlcz48L2RhdGVzPjxpc2JuPjE1NTgtODIzOCAoRWxlY3Ry
b25pYykmI3hEOzAwMjEtOTczOCAoTGlua2luZyk8L2lzYm4+PGFjY2Vzc2lvbi1udW0+Mjg1MzA2
NDU8L2FjY2Vzc2lvbi1udW0+PHVybHM+PHJlbGF0ZWQtdXJscz48dXJsPmh0dHBzOi8vd3d3Lm5j
YmkubmxtLm5paC5nb3YvcHVibWVkLzI4NTMwNjQ1PC91cmw+PC9yZWxhdGVkLXVybHM+PC91cmxz
PjxjdXN0b20yPlBNQzU0OTA3NTE8L2N1c3RvbTI+PGVsZWN0cm9uaWMtcmVzb3VyY2UtbnVtPjEw
LjExNzIvSkNJODk5MzU8L2VsZWN0cm9uaWMtcmVzb3VyY2UtbnVtPjwvcmVjb3JkPjwvQ2l0ZT48
L0VuZE5vdGU+
</w:fldData>
        </w:fldChar>
      </w:r>
      <w:r w:rsidR="00AD51F7">
        <w:rPr>
          <w:rFonts w:ascii="Times New Roman" w:hAnsi="Times New Roman"/>
          <w:noProof/>
          <w:sz w:val="24"/>
          <w:szCs w:val="24"/>
        </w:rPr>
        <w:instrText xml:space="preserve"> ADDIN EN.CITE </w:instrText>
      </w:r>
      <w:r w:rsidR="00AD51F7">
        <w:rPr>
          <w:rFonts w:ascii="Times New Roman" w:hAnsi="Times New Roman"/>
          <w:noProof/>
          <w:sz w:val="24"/>
          <w:szCs w:val="24"/>
        </w:rPr>
        <w:fldChar w:fldCharType="begin">
          <w:fldData xml:space="preserve">PEVuZE5vdGU+PENpdGU+PEF1dGhvcj5CYWU8L0F1dGhvcj48WWVhcj4yMDE3PC9ZZWFyPjxSZWNO
dW0+ODwvUmVjTnVtPjxEaXNwbGF5VGV4dD48c3R5bGUgZmFjZT0ic3VwZXJzY3JpcHQiPjM8L3N0
eWxlPjwvRGlzcGxheVRleHQ+PHJlY29yZD48cmVjLW51bWJlcj44PC9yZWMtbnVtYmVyPjxmb3Jl
aWduLWtleXM+PGtleSBhcHA9IkVOIiBkYi1pZD0id3JmZHN3dnI2cGR4c2FlZnJwcnAycjVmZnIw
eno5ZHpldnhkIiB0aW1lc3RhbXA9IjE1ODU3NDI4MTciPjg8L2tleT48L2ZvcmVpZ24ta2V5cz48
cmVmLXR5cGUgbmFtZT0iSm91cm5hbCBBcnRpY2xlIj4xNzwvcmVmLXR5cGU+PGNvbnRyaWJ1dG9y
cz48YXV0aG9ycz48YXV0aG9yPkJhZSwgUy48L2F1dGhvcj48YXV0aG9yPkxlZSwgTS4gSi48L2F1
dGhvcj48YXV0aG9yPk11biwgUy4gSC48L2F1dGhvcj48YXV0aG9yPkdpYW5ub3BvdWxvdSwgRS4g
Ry48L2F1dGhvcj48YXV0aG9yPllvbmctR29uemFsZXosIFYuPC9hdXRob3I+PGF1dGhvcj5Dcm9z
cywgSi4gUi48L2F1dGhvcj48YXV0aG9yPk11cmF0YSwgSy48L2F1dGhvcj48YXV0aG9yPkdpZ3Vl
cmUsIFYuPC9hdXRob3I+PGF1dGhvcj52YW4gZGVyIE1ldWxlbiwgTS48L2F1dGhvcj48YXV0aG9y
PlBhcmstTWluLCBLLiBILjwvYXV0aG9yPjwvYXV0aG9ycz48L2NvbnRyaWJ1dG9ycz48YXV0aC1h
ZGRyZXNzPkFydGhyaXRpcyBhbmQgVGlzc3VlIERlZ2VuZXJhdGlvbiBQcm9ncmFtLCBEYXZpZCBa
LiBSb3NlbnN3ZWlnIEdlbm9taWNzIFJlc2VhcmNoIENlbnRlciwgSG9zcGl0YWwgZm9yIFNwZWNp
YWwgU3VyZ2VyeSwgTmV3IFlvcmssIE5ldyBZb3JrLCBVU0EuJiN4RDtCaW9sb2dpY2FsIFNjaWVu
Y2VzIERlcGFydG1lbnQsIE5ldyBZb3JrIENpdHkgQ29sbGVnZSBvZiBUZWNobm9sb2d5LCBDaXR5
IFVuaXZlcnNpdHkgb2YgTmV3IFlvcmssIEJyb29rbHluLCBOZXcgWW9yaywgVVNBLiYjeEQ7RG9u
YWxkIEIuIGFuZCBDYXRoZXJpbmUgQy4gTWFycm9uIENhbmNlciBNZXRhYm9saXNtIENlbnRlciwg
TWVtb3JpYWwgU2xvYW4gS2V0dGVyaW5nIENhbmNlciBDZW50ZXIsIE5ldyBZb3JrLCBOZXcgWW9y
aywgVVNBLiYjeEQ7R29vZG1hbiBDYW5jZXIgUmVzZWFyY2ggQ2VudHJlLCBNY0dpbGwgVW5pdmVy
c2l0eSwgTW9udHJlYWwsIENhbmFkYTsgRGVwYXJ0bWVudHMgb2YgQmlvY2hlbWlzdHJ5LCBNZWRp
Y2luZSBhbmQgT25jb2xvZ3ksIE1jR2lsbCBVbml2ZXJzaXR5LCBNb250cmVhbCwgQ2FuYWRhLiYj
eEQ7U2libGV5IFNjaG9vbCBvZiBNZWNoYW5pY2FsIGFuZCBBZXJvc3BhY2UgRW5naW5lZXJpbmcs
IENvcm5lbGwgVW5pdmVyc2l0eSwgSXRoYWNhLCBOZXcgWW9yaywgVVNBLiYjeEQ7TXVzY3Vsb3Nr
ZWxldGFsIEludGVncml0eSBQcm9ncmFtLCBIb3NwaXRhbCBmb3IgU3BlY2lhbCBTdXJnZXJ5LCBO
ZXcgWW9yaywgTmV3IFlvcmssIFVTQS4mI3hEO0RlcGFydG1lbnQgb2YgTWVkaWNpbmUsIFdlaWxs
IENvcm5lbGwgTWVkaWNhbCBDb2xsZWdlLCBOZXcgWW9yaywgTmV3IFlvcmssIFVTQS48L2F1dGgt
YWRkcmVzcz48dGl0bGVzPjx0aXRsZT5NWUMtZGVwZW5kZW50IG94aWRhdGl2ZSBtZXRhYm9saXNt
IHJlZ3VsYXRlcyBvc3Rlb2NsYXN0b2dlbmVzaXMgdmlhIG51Y2xlYXIgcmVjZXB0b3IgRVJSYWxw
aGE8L3RpdGxlPjxzZWNvbmRhcnktdGl0bGU+SiBDbGluIEludmVzdDwvc2Vjb25kYXJ5LXRpdGxl
PjwvdGl0bGVzPjxwZXJpb2RpY2FsPjxmdWxsLXRpdGxlPkogQ2xpbiBJbnZlc3Q8L2Z1bGwtdGl0
bGU+PC9wZXJpb2RpY2FsPjxwYWdlcz4yNTU1LTI1Njg8L3BhZ2VzPjx2b2x1bWU+MTI3PC92b2x1
bWU+PG51bWJlcj43PC9udW1iZXI+PGVkaXRpb24+MjAxNy8wNS8yMzwvZWRpdGlvbj48a2V5d29y
ZHM+PGtleXdvcmQ+QW5pbWFsczwva2V5d29yZD48a2V5d29yZD4qQ2VsbCBEaWZmZXJlbnRpYXRp
b248L2tleXdvcmQ+PGtleXdvcmQ+RmVtYWxlPC9rZXl3b3JkPjxrZXl3b3JkPkh1bWFuczwva2V5
d29yZD48a2V5d29yZD5NYWxlPC9rZXl3b3JkPjxrZXl3b3JkPk1pY2U8L2tleXdvcmQ+PGtleXdv
cmQ+TWljZSwgS25vY2tvdXQ8L2tleXdvcmQ+PGtleXdvcmQ+T3N0ZW9jbGFzdHMvKm1ldGFib2xp
c20vcGF0aG9sb2d5PC9rZXl3b3JkPjxrZXl3b3JkPk9zdGVvcG9yb3Npcy9nZW5ldGljcy8qbWV0
YWJvbGlzbS9wYXRob2xvZ3kvdGhlcmFweTwva2V5d29yZD48a2V5d29yZD5Qcm90by1PbmNvZ2Vu
ZSBQcm90ZWlucyBjLW15Yy9nZW5ldGljcy8qbWV0YWJvbGlzbTwva2V5d29yZD48a2V5d29yZD5S
ZWNlcHRvcnMsIEVzdHJvZ2VuL2dlbmV0aWNzLyptZXRhYm9saXNtPC9rZXl3b3JkPjxrZXl3b3Jk
PipTaWduYWwgVHJhbnNkdWN0aW9uPC9rZXl3b3JkPjxrZXl3b3JkPlRyYW5zY3JpcHRvbWU8L2tl
eXdvcmQ+PC9rZXl3b3Jkcz48ZGF0ZXM+PHllYXI+MjAxNzwveWVhcj48cHViLWRhdGVzPjxkYXRl
Pkp1biAzMDwvZGF0ZT48L3B1Yi1kYXRlcz48L2RhdGVzPjxpc2JuPjE1NTgtODIzOCAoRWxlY3Ry
b25pYykmI3hEOzAwMjEtOTczOCAoTGlua2luZyk8L2lzYm4+PGFjY2Vzc2lvbi1udW0+Mjg1MzA2
NDU8L2FjY2Vzc2lvbi1udW0+PHVybHM+PHJlbGF0ZWQtdXJscz48dXJsPmh0dHBzOi8vd3d3Lm5j
YmkubmxtLm5paC5nb3YvcHVibWVkLzI4NTMwNjQ1PC91cmw+PC9yZWxhdGVkLXVybHM+PC91cmxz
PjxjdXN0b20yPlBNQzU0OTA3NTE8L2N1c3RvbTI+PGVsZWN0cm9uaWMtcmVzb3VyY2UtbnVtPjEw
LjExNzIvSkNJODk5MzU8L2VsZWN0cm9uaWMtcmVzb3VyY2UtbnVtPjwvcmVjb3JkPjwvQ2l0ZT48
L0VuZE5vdGU+
</w:fldData>
        </w:fldChar>
      </w:r>
      <w:r w:rsidR="00AD51F7">
        <w:rPr>
          <w:rFonts w:ascii="Times New Roman" w:hAnsi="Times New Roman"/>
          <w:noProof/>
          <w:sz w:val="24"/>
          <w:szCs w:val="24"/>
        </w:rPr>
        <w:instrText xml:space="preserve"> ADDIN EN.CITE.DATA </w:instrText>
      </w:r>
      <w:r w:rsidR="00AD51F7">
        <w:rPr>
          <w:rFonts w:ascii="Times New Roman" w:hAnsi="Times New Roman"/>
          <w:noProof/>
          <w:sz w:val="24"/>
          <w:szCs w:val="24"/>
        </w:rPr>
      </w:r>
      <w:r w:rsidR="00AD51F7">
        <w:rPr>
          <w:rFonts w:ascii="Times New Roman" w:hAnsi="Times New Roman"/>
          <w:noProof/>
          <w:sz w:val="24"/>
          <w:szCs w:val="24"/>
        </w:rPr>
        <w:fldChar w:fldCharType="end"/>
      </w:r>
      <w:r w:rsidRPr="00913CFB">
        <w:rPr>
          <w:rFonts w:ascii="Times New Roman" w:hAnsi="Times New Roman"/>
          <w:noProof/>
          <w:sz w:val="24"/>
          <w:szCs w:val="24"/>
        </w:rPr>
        <w:fldChar w:fldCharType="separate"/>
      </w:r>
      <w:r w:rsidR="00AD51F7" w:rsidRPr="00AD51F7">
        <w:rPr>
          <w:rFonts w:ascii="Times New Roman" w:hAnsi="Times New Roman"/>
          <w:noProof/>
          <w:sz w:val="24"/>
          <w:szCs w:val="24"/>
          <w:vertAlign w:val="superscript"/>
        </w:rPr>
        <w:t>3</w:t>
      </w:r>
      <w:r w:rsidRPr="00913CFB">
        <w:rPr>
          <w:rFonts w:ascii="Times New Roman" w:hAnsi="Times New Roman"/>
          <w:noProof/>
          <w:sz w:val="24"/>
          <w:szCs w:val="24"/>
        </w:rPr>
        <w:fldChar w:fldCharType="end"/>
      </w:r>
      <w:r w:rsidRPr="00913CFB">
        <w:rPr>
          <w:rFonts w:ascii="Times New Roman" w:hAnsi="Times New Roman"/>
          <w:noProof/>
          <w:sz w:val="24"/>
          <w:szCs w:val="24"/>
        </w:rPr>
        <w:t>.</w:t>
      </w:r>
      <w:r w:rsidRPr="00072FA5">
        <w:rPr>
          <w:rFonts w:ascii="Times New Roman" w:hAnsi="Times New Roman"/>
          <w:noProof/>
          <w:sz w:val="24"/>
          <w:szCs w:val="24"/>
        </w:rPr>
        <w:br w:type="page"/>
      </w:r>
    </w:p>
    <w:p w:rsidR="00550CEF" w:rsidRDefault="00550CEF" w:rsidP="00550CEF">
      <w:pPr>
        <w:spacing w:before="120" w:line="276" w:lineRule="auto"/>
        <w:jc w:val="center"/>
        <w:rPr>
          <w:rFonts w:ascii="Times New Roman" w:hAnsi="Times New Roman"/>
          <w:b/>
          <w:noProof/>
          <w:sz w:val="24"/>
          <w:szCs w:val="24"/>
        </w:rPr>
      </w:pPr>
      <w:r>
        <w:rPr>
          <w:rFonts w:ascii="Times New Roman" w:hAnsi="Times New Roman"/>
          <w:b/>
          <w:noProof/>
          <w:sz w:val="24"/>
          <w:szCs w:val="24"/>
          <w:lang w:eastAsia="en-US"/>
        </w:rPr>
        <w:drawing>
          <wp:inline distT="0" distB="0" distL="0" distR="0" wp14:anchorId="4F029D5A" wp14:editId="325B6B00">
            <wp:extent cx="5989320" cy="7333488"/>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89320" cy="7333488"/>
                    </a:xfrm>
                    <a:prstGeom prst="rect">
                      <a:avLst/>
                    </a:prstGeom>
                    <a:noFill/>
                  </pic:spPr>
                </pic:pic>
              </a:graphicData>
            </a:graphic>
          </wp:inline>
        </w:drawing>
      </w:r>
    </w:p>
    <w:p w:rsidR="00550CEF" w:rsidRPr="00072FA5" w:rsidRDefault="00550CEF" w:rsidP="00550CEF">
      <w:pPr>
        <w:spacing w:before="120" w:line="276" w:lineRule="auto"/>
        <w:outlineLvl w:val="1"/>
        <w:rPr>
          <w:rFonts w:ascii="Times New Roman" w:hAnsi="Times New Roman"/>
          <w:b/>
          <w:noProof/>
          <w:sz w:val="24"/>
          <w:szCs w:val="24"/>
        </w:rPr>
      </w:pPr>
      <w:r w:rsidRPr="00913CFB">
        <w:rPr>
          <w:rFonts w:ascii="Times New Roman" w:hAnsi="Times New Roman"/>
          <w:b/>
          <w:noProof/>
          <w:sz w:val="24"/>
          <w:szCs w:val="24"/>
        </w:rPr>
        <w:t xml:space="preserve">Supplementary Fig. 10 </w:t>
      </w:r>
      <w:r w:rsidRPr="00086212">
        <w:rPr>
          <w:rFonts w:ascii="Times New Roman" w:hAnsi="Times New Roman"/>
          <w:b/>
          <w:noProof/>
          <w:sz w:val="24"/>
          <w:szCs w:val="24"/>
        </w:rPr>
        <w:t>Schematic workflow for O-GlcNAc target screening.</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Following enrichment of O-GlcNAc modified protein by immunoprecipitation, proteins with increased O-GlcNAc levels in RANKL+TNF</w:t>
      </w:r>
      <w:r>
        <w:rPr>
          <w:rFonts w:ascii="Times New Roman" w:hAnsi="Times New Roman"/>
          <w:noProof/>
          <w:sz w:val="24"/>
          <w:szCs w:val="24"/>
        </w:rPr>
        <w:t>α</w:t>
      </w:r>
      <w:r w:rsidRPr="00072FA5">
        <w:rPr>
          <w:rFonts w:ascii="Times New Roman" w:hAnsi="Times New Roman"/>
          <w:noProof/>
          <w:sz w:val="24"/>
          <w:szCs w:val="24"/>
        </w:rPr>
        <w:t xml:space="preserve"> costimulated cells compared to unstimulated cells  were detected by mass spectrometry and taken for further analysis. To evaluate the potential of these targets to regulate O-GlcNAc-dependent transcriptome, we retrieved the interactions between the targets and the predicted transcription regulators using IPA. The linked transcription regulators and the number of corresponding DEGs from the RNAseq dataset obtained from OSMI-1 treated osteoclast precursors are shown in the graph. </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 xml:space="preserve">#, unable to compute fold change since O-GlcNAc modified MTDH was not detected in unstimulated cells. </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 the Ingenuity Knowledge Base curates several IFIs as one target; specific IFI207 targets are not defined. The effect of IFI207 on DEGs might thus be overestimated.</w:t>
      </w:r>
    </w:p>
    <w:p w:rsidR="00550CEF" w:rsidRPr="00072FA5" w:rsidRDefault="00550CEF" w:rsidP="00550CEF">
      <w:pPr>
        <w:spacing w:before="120" w:line="276" w:lineRule="auto"/>
        <w:rPr>
          <w:rFonts w:ascii="Times New Roman" w:hAnsi="Times New Roman"/>
          <w:noProof/>
          <w:sz w:val="24"/>
          <w:szCs w:val="24"/>
        </w:rPr>
      </w:pPr>
      <w:r w:rsidRPr="00072FA5">
        <w:rPr>
          <w:rFonts w:ascii="Times New Roman" w:hAnsi="Times New Roman"/>
          <w:noProof/>
          <w:sz w:val="24"/>
          <w:szCs w:val="24"/>
        </w:rPr>
        <w:t xml:space="preserve">The diagram of mass spectrometry is adapted from </w:t>
      </w:r>
      <w:r w:rsidR="000762B0" w:rsidRPr="003A2263">
        <w:rPr>
          <w:rFonts w:ascii="Times New Roman" w:hAnsi="Times New Roman" w:cs="Times New Roman"/>
          <w:noProof/>
          <w:sz w:val="24"/>
          <w:szCs w:val="24"/>
        </w:rPr>
        <w:t>Hofmann</w:t>
      </w:r>
      <w:r w:rsidR="000762B0">
        <w:rPr>
          <w:rFonts w:ascii="Times New Roman" w:hAnsi="Times New Roman"/>
          <w:noProof/>
          <w:sz w:val="24"/>
          <w:szCs w:val="24"/>
        </w:rPr>
        <w:t xml:space="preserve"> </w:t>
      </w:r>
      <w:r w:rsidR="003A2263">
        <w:rPr>
          <w:rFonts w:ascii="Times New Roman" w:hAnsi="Times New Roman"/>
          <w:noProof/>
          <w:sz w:val="24"/>
          <w:szCs w:val="24"/>
        </w:rPr>
        <w:t>et al.</w:t>
      </w:r>
      <w:r>
        <w:rPr>
          <w:rFonts w:ascii="Times New Roman" w:hAnsi="Times New Roman"/>
          <w:noProof/>
          <w:sz w:val="24"/>
          <w:szCs w:val="24"/>
        </w:rPr>
        <w:fldChar w:fldCharType="begin"/>
      </w:r>
      <w:r w:rsidR="00AD51F7">
        <w:rPr>
          <w:rFonts w:ascii="Times New Roman" w:hAnsi="Times New Roman"/>
          <w:noProof/>
          <w:sz w:val="24"/>
          <w:szCs w:val="24"/>
        </w:rPr>
        <w:instrText xml:space="preserve"> ADDIN EN.CITE &lt;EndNote&gt;&lt;Cite&gt;&lt;Author&gt;Hofmann&lt;/Author&gt;&lt;Year&gt;2020&lt;/Year&gt;&lt;RecNum&gt;237&lt;/RecNum&gt;&lt;DisplayText&gt;&lt;style face="superscript"&gt;4&lt;/style&gt;&lt;/DisplayText&gt;&lt;record&gt;&lt;rec-number&gt;237&lt;/rec-number&gt;&lt;foreign-keys&gt;&lt;key app="EN" db-id="wrfdswvr6pdxsaefrprp2r5ffr0zz9dzevxd" timestamp="1627575890"&gt;237&lt;/key&gt;&lt;/foreign-keys&gt;&lt;ref-type name="Journal Article"&gt;17&lt;/ref-type&gt;&lt;contributors&gt;&lt;authors&gt;&lt;author&gt;Hofmann, Amy E&lt;/author&gt;&lt;author&gt;Chimiak, Laura&lt;/author&gt;&lt;author&gt;Dallas, Brooke&lt;/author&gt;&lt;author&gt;Griep-Raming, Jens&lt;/author&gt;&lt;author&gt;Juchelka, Dieter&lt;/author&gt;&lt;author&gt;Makarov, Alexander&lt;/author&gt;&lt;author&gt;Schwieters, Johannes&lt;/author&gt;&lt;author&gt;Eiler, John M&lt;/author&gt;&lt;/authors&gt;&lt;/contributors&gt;&lt;titles&gt;&lt;title&gt;Using Orbitrap mass spectrometry to assess the isotopic compositions of individual compounds in mixtures&lt;/title&gt;&lt;secondary-title&gt;International Journal of Mass Spectrometry&lt;/secondary-title&gt;&lt;/titles&gt;&lt;periodical&gt;&lt;full-title&gt;International Journal of Mass Spectrometry&lt;/full-title&gt;&lt;/periodical&gt;&lt;pages&gt;116410&lt;/pages&gt;&lt;volume&gt;457&lt;/volume&gt;&lt;dates&gt;&lt;year&gt;2020&lt;/year&gt;&lt;/dates&gt;&lt;isbn&gt;1387-3806&lt;/isbn&gt;&lt;urls&gt;&lt;/urls&gt;&lt;/record&gt;&lt;/Cite&gt;&lt;/EndNote&gt;</w:instrText>
      </w:r>
      <w:r>
        <w:rPr>
          <w:rFonts w:ascii="Times New Roman" w:hAnsi="Times New Roman"/>
          <w:noProof/>
          <w:sz w:val="24"/>
          <w:szCs w:val="24"/>
        </w:rPr>
        <w:fldChar w:fldCharType="separate"/>
      </w:r>
      <w:r w:rsidR="00AD51F7" w:rsidRPr="00AD51F7">
        <w:rPr>
          <w:rFonts w:ascii="Times New Roman" w:hAnsi="Times New Roman"/>
          <w:noProof/>
          <w:sz w:val="24"/>
          <w:szCs w:val="24"/>
          <w:vertAlign w:val="superscript"/>
        </w:rPr>
        <w:t>4</w:t>
      </w:r>
      <w:r>
        <w:rPr>
          <w:rFonts w:ascii="Times New Roman" w:hAnsi="Times New Roman"/>
          <w:noProof/>
          <w:sz w:val="24"/>
          <w:szCs w:val="24"/>
        </w:rPr>
        <w:fldChar w:fldCharType="end"/>
      </w:r>
      <w:r w:rsidRPr="00072FA5">
        <w:rPr>
          <w:rFonts w:ascii="Times New Roman" w:hAnsi="Times New Roman"/>
          <w:noProof/>
          <w:sz w:val="24"/>
          <w:szCs w:val="24"/>
        </w:rPr>
        <w:t xml:space="preserve"> under CC BY 4.0 license (</w:t>
      </w:r>
      <w:hyperlink r:id="rId16" w:history="1">
        <w:r w:rsidRPr="00072FA5">
          <w:rPr>
            <w:rStyle w:val="Hyperlink"/>
            <w:rFonts w:ascii="Times New Roman" w:hAnsi="Times New Roman"/>
            <w:noProof/>
            <w:sz w:val="24"/>
            <w:szCs w:val="24"/>
          </w:rPr>
          <w:t>https://creativecommons.org/licenses/by/4.0/</w:t>
        </w:r>
      </w:hyperlink>
      <w:r w:rsidRPr="00072FA5">
        <w:rPr>
          <w:rFonts w:ascii="Times New Roman" w:hAnsi="Times New Roman"/>
          <w:noProof/>
          <w:sz w:val="24"/>
          <w:szCs w:val="24"/>
        </w:rPr>
        <w:t xml:space="preserve">). </w:t>
      </w:r>
      <w:r w:rsidRPr="00072FA5">
        <w:rPr>
          <w:rFonts w:ascii="Times New Roman" w:hAnsi="Times New Roman"/>
          <w:b/>
          <w:noProof/>
          <w:sz w:val="24"/>
          <w:szCs w:val="24"/>
        </w:rPr>
        <w:br w:type="page"/>
      </w:r>
    </w:p>
    <w:p w:rsidR="00550CEF" w:rsidRDefault="00550CEF" w:rsidP="00550CEF">
      <w:pPr>
        <w:spacing w:before="120" w:line="276" w:lineRule="auto"/>
        <w:rPr>
          <w:rFonts w:ascii="Times New Roman" w:hAnsi="Times New Roman"/>
          <w:b/>
          <w:noProof/>
          <w:sz w:val="24"/>
          <w:szCs w:val="24"/>
        </w:rPr>
      </w:pPr>
      <w:r>
        <w:rPr>
          <w:rFonts w:ascii="Times New Roman" w:hAnsi="Times New Roman"/>
          <w:b/>
          <w:noProof/>
          <w:sz w:val="24"/>
          <w:szCs w:val="24"/>
          <w:lang w:eastAsia="en-US"/>
        </w:rPr>
        <w:drawing>
          <wp:inline distT="0" distB="0" distL="0" distR="0" wp14:anchorId="7824A8A7" wp14:editId="3166FDB7">
            <wp:extent cx="5989320" cy="5769864"/>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89320" cy="5769864"/>
                    </a:xfrm>
                    <a:prstGeom prst="rect">
                      <a:avLst/>
                    </a:prstGeom>
                    <a:noFill/>
                  </pic:spPr>
                </pic:pic>
              </a:graphicData>
            </a:graphic>
          </wp:inline>
        </w:drawing>
      </w:r>
    </w:p>
    <w:p w:rsidR="00550CEF" w:rsidRPr="00072FA5" w:rsidRDefault="00550CEF" w:rsidP="00550CEF">
      <w:pPr>
        <w:spacing w:before="120" w:line="276" w:lineRule="auto"/>
        <w:outlineLvl w:val="1"/>
        <w:rPr>
          <w:rFonts w:ascii="Times New Roman" w:hAnsi="Times New Roman"/>
          <w:b/>
          <w:noProof/>
          <w:sz w:val="24"/>
          <w:szCs w:val="24"/>
        </w:rPr>
      </w:pPr>
      <w:r w:rsidRPr="00913CFB">
        <w:rPr>
          <w:rFonts w:ascii="Times New Roman" w:hAnsi="Times New Roman"/>
          <w:b/>
          <w:noProof/>
          <w:sz w:val="24"/>
          <w:szCs w:val="24"/>
        </w:rPr>
        <w:t>Supplementary Fig. 11</w:t>
      </w:r>
      <w:r w:rsidRPr="00072FA5">
        <w:rPr>
          <w:rFonts w:ascii="Times New Roman" w:hAnsi="Times New Roman"/>
          <w:b/>
          <w:noProof/>
          <w:sz w:val="24"/>
          <w:szCs w:val="24"/>
        </w:rPr>
        <w:t xml:space="preserve"> </w:t>
      </w:r>
      <w:r w:rsidRPr="00072FA5">
        <w:rPr>
          <w:rFonts w:ascii="Times New Roman" w:hAnsi="Times New Roman"/>
          <w:b/>
          <w:i/>
          <w:noProof/>
          <w:sz w:val="24"/>
          <w:szCs w:val="24"/>
        </w:rPr>
        <w:t>Nup153</w:t>
      </w:r>
      <w:r w:rsidRPr="00072FA5">
        <w:rPr>
          <w:rFonts w:ascii="Times New Roman" w:hAnsi="Times New Roman"/>
          <w:b/>
          <w:noProof/>
          <w:sz w:val="24"/>
          <w:szCs w:val="24"/>
        </w:rPr>
        <w:t xml:space="preserve"> knockdown inhibits MYC nuclear co-localization and osteoclastogenesis.</w:t>
      </w:r>
    </w:p>
    <w:p w:rsidR="003A2263" w:rsidRDefault="00550CEF" w:rsidP="00550CEF">
      <w:pPr>
        <w:spacing w:before="120" w:line="276" w:lineRule="auto"/>
        <w:rPr>
          <w:rFonts w:ascii="Times New Roman" w:hAnsi="Times New Roman"/>
          <w:sz w:val="24"/>
          <w:szCs w:val="24"/>
        </w:rPr>
      </w:pPr>
      <w:r w:rsidRPr="00072FA5">
        <w:rPr>
          <w:rFonts w:ascii="Times New Roman" w:hAnsi="Times New Roman"/>
          <w:noProof/>
          <w:sz w:val="24"/>
          <w:szCs w:val="24"/>
        </w:rPr>
        <w:t>(</w:t>
      </w:r>
      <w:r w:rsidRPr="00072FA5">
        <w:rPr>
          <w:rFonts w:ascii="Times New Roman" w:hAnsi="Times New Roman"/>
          <w:b/>
          <w:noProof/>
          <w:sz w:val="24"/>
          <w:szCs w:val="24"/>
        </w:rPr>
        <w:t>A</w:t>
      </w:r>
      <w:r w:rsidRPr="00072FA5">
        <w:rPr>
          <w:rFonts w:ascii="Times New Roman" w:hAnsi="Times New Roman"/>
          <w:noProof/>
          <w:sz w:val="24"/>
          <w:szCs w:val="24"/>
        </w:rPr>
        <w:t xml:space="preserve">) Representative immunofluorescence image and cellomics analysis of MYC nuclear co-localization on </w:t>
      </w:r>
      <w:r w:rsidRPr="00072FA5">
        <w:rPr>
          <w:rFonts w:ascii="Times New Roman" w:hAnsi="Times New Roman"/>
          <w:sz w:val="24"/>
          <w:szCs w:val="24"/>
        </w:rPr>
        <w:t xml:space="preserve">RAW264.7 cells </w:t>
      </w:r>
      <w:r w:rsidRPr="00072FA5">
        <w:rPr>
          <w:rFonts w:ascii="Times New Roman" w:hAnsi="Times New Roman"/>
          <w:noProof/>
          <w:sz w:val="24"/>
          <w:szCs w:val="24"/>
        </w:rPr>
        <w:t xml:space="preserve">transfected with </w:t>
      </w:r>
      <w:r w:rsidRPr="00072FA5">
        <w:rPr>
          <w:rFonts w:ascii="Times New Roman" w:hAnsi="Times New Roman"/>
          <w:i/>
          <w:noProof/>
          <w:sz w:val="24"/>
          <w:szCs w:val="24"/>
        </w:rPr>
        <w:t>Nup153</w:t>
      </w:r>
      <w:r w:rsidRPr="00072FA5">
        <w:rPr>
          <w:rFonts w:ascii="Times New Roman" w:hAnsi="Times New Roman"/>
          <w:noProof/>
          <w:sz w:val="24"/>
          <w:szCs w:val="24"/>
        </w:rPr>
        <w:t xml:space="preserve"> siRNA (n = 5 replicates per group; &gt;1000 cells analyzed for each replicate). Unless specified, cells were transfected with non-targeting siRNA and treated with vehicle. Horizontal scale bar, 50 µm. </w:t>
      </w:r>
      <w:r w:rsidRPr="00072FA5">
        <w:rPr>
          <w:rFonts w:ascii="Times New Roman" w:hAnsi="Times New Roman"/>
          <w:sz w:val="24"/>
          <w:szCs w:val="24"/>
        </w:rPr>
        <w:t>(</w:t>
      </w:r>
      <w:r w:rsidRPr="00072FA5">
        <w:rPr>
          <w:rFonts w:ascii="Times New Roman" w:hAnsi="Times New Roman"/>
          <w:b/>
          <w:sz w:val="24"/>
          <w:szCs w:val="24"/>
        </w:rPr>
        <w:t>B</w:t>
      </w:r>
      <w:r w:rsidRPr="00072FA5">
        <w:rPr>
          <w:rFonts w:ascii="Times New Roman" w:hAnsi="Times New Roman"/>
          <w:sz w:val="24"/>
          <w:szCs w:val="24"/>
        </w:rPr>
        <w:t xml:space="preserve">) Osteoclast-related gene expression in cells with </w:t>
      </w:r>
      <w:r w:rsidRPr="00072FA5">
        <w:rPr>
          <w:rFonts w:ascii="Times New Roman" w:hAnsi="Times New Roman"/>
          <w:i/>
          <w:sz w:val="24"/>
          <w:szCs w:val="24"/>
        </w:rPr>
        <w:t>Nup153</w:t>
      </w:r>
      <w:r w:rsidRPr="00072FA5">
        <w:rPr>
          <w:rFonts w:ascii="Times New Roman" w:hAnsi="Times New Roman"/>
          <w:sz w:val="24"/>
          <w:szCs w:val="24"/>
        </w:rPr>
        <w:t xml:space="preserve"> knockdown (n = 4 per group). (</w:t>
      </w:r>
      <w:r w:rsidRPr="00072FA5">
        <w:rPr>
          <w:rFonts w:ascii="Times New Roman" w:hAnsi="Times New Roman"/>
          <w:b/>
          <w:sz w:val="24"/>
          <w:szCs w:val="24"/>
        </w:rPr>
        <w:t>C</w:t>
      </w:r>
      <w:r w:rsidRPr="00072FA5">
        <w:rPr>
          <w:rFonts w:ascii="Times New Roman" w:hAnsi="Times New Roman"/>
          <w:sz w:val="24"/>
          <w:szCs w:val="24"/>
        </w:rPr>
        <w:t xml:space="preserve">) </w:t>
      </w:r>
      <w:proofErr w:type="spellStart"/>
      <w:r w:rsidRPr="00072FA5">
        <w:rPr>
          <w:rFonts w:ascii="Times New Roman" w:hAnsi="Times New Roman"/>
          <w:sz w:val="24"/>
          <w:szCs w:val="24"/>
        </w:rPr>
        <w:t>Cellomics</w:t>
      </w:r>
      <w:proofErr w:type="spellEnd"/>
      <w:r w:rsidRPr="00072FA5">
        <w:rPr>
          <w:rFonts w:ascii="Times New Roman" w:hAnsi="Times New Roman"/>
          <w:sz w:val="24"/>
          <w:szCs w:val="24"/>
        </w:rPr>
        <w:t xml:space="preserve"> analysis of proportions of immature and mature osteoclasts, OC fusion index, and TRAP enzyme activity in cells with </w:t>
      </w:r>
      <w:r w:rsidRPr="00072FA5">
        <w:rPr>
          <w:rFonts w:ascii="Times New Roman" w:hAnsi="Times New Roman"/>
          <w:i/>
          <w:sz w:val="24"/>
          <w:szCs w:val="24"/>
        </w:rPr>
        <w:t>Nup153</w:t>
      </w:r>
      <w:r w:rsidRPr="00072FA5">
        <w:rPr>
          <w:rFonts w:ascii="Times New Roman" w:hAnsi="Times New Roman"/>
          <w:sz w:val="24"/>
          <w:szCs w:val="24"/>
        </w:rPr>
        <w:t xml:space="preserve"> knockdown (n = 34855 cells in total). (</w:t>
      </w:r>
      <w:r w:rsidRPr="00072FA5">
        <w:rPr>
          <w:rFonts w:ascii="Times New Roman" w:hAnsi="Times New Roman"/>
          <w:b/>
          <w:sz w:val="24"/>
          <w:szCs w:val="24"/>
        </w:rPr>
        <w:t>D</w:t>
      </w:r>
      <w:r w:rsidRPr="00072FA5">
        <w:rPr>
          <w:rFonts w:ascii="Times New Roman" w:hAnsi="Times New Roman"/>
          <w:sz w:val="24"/>
          <w:szCs w:val="24"/>
        </w:rPr>
        <w:t xml:space="preserve">) </w:t>
      </w:r>
      <w:r w:rsidRPr="00072FA5">
        <w:rPr>
          <w:rFonts w:ascii="Times New Roman" w:hAnsi="Times New Roman"/>
          <w:i/>
          <w:sz w:val="24"/>
          <w:szCs w:val="24"/>
        </w:rPr>
        <w:t>In vitro</w:t>
      </w:r>
      <w:r w:rsidRPr="00072FA5">
        <w:rPr>
          <w:rFonts w:ascii="Times New Roman" w:hAnsi="Times New Roman"/>
          <w:sz w:val="24"/>
          <w:szCs w:val="24"/>
        </w:rPr>
        <w:t xml:space="preserve"> bone resorption assay on cells with </w:t>
      </w:r>
      <w:r w:rsidRPr="00072FA5">
        <w:rPr>
          <w:rFonts w:ascii="Times New Roman" w:hAnsi="Times New Roman"/>
          <w:i/>
          <w:sz w:val="24"/>
          <w:szCs w:val="24"/>
        </w:rPr>
        <w:t>Nup153</w:t>
      </w:r>
      <w:r w:rsidRPr="00072FA5">
        <w:rPr>
          <w:rFonts w:ascii="Times New Roman" w:hAnsi="Times New Roman"/>
          <w:sz w:val="24"/>
          <w:szCs w:val="24"/>
        </w:rPr>
        <w:t xml:space="preserve"> knockdown (n = 6 per group). </w:t>
      </w:r>
      <w:r>
        <w:rPr>
          <w:rFonts w:ascii="Times New Roman" w:hAnsi="Times New Roman"/>
          <w:sz w:val="24"/>
          <w:szCs w:val="24"/>
        </w:rPr>
        <w:t>MFI, mean fluorescence intensity; OC, osteoclast.</w:t>
      </w:r>
    </w:p>
    <w:p w:rsidR="003A2263" w:rsidRDefault="003A2263">
      <w:pPr>
        <w:widowControl/>
        <w:wordWrap/>
        <w:autoSpaceDE/>
        <w:autoSpaceDN/>
        <w:spacing w:line="259" w:lineRule="auto"/>
        <w:jc w:val="left"/>
        <w:rPr>
          <w:rFonts w:ascii="Times New Roman" w:hAnsi="Times New Roman"/>
          <w:sz w:val="24"/>
          <w:szCs w:val="24"/>
        </w:rPr>
      </w:pPr>
      <w:r>
        <w:rPr>
          <w:rFonts w:ascii="Times New Roman" w:hAnsi="Times New Roman"/>
          <w:sz w:val="24"/>
          <w:szCs w:val="24"/>
        </w:rPr>
        <w:br w:type="page"/>
      </w:r>
    </w:p>
    <w:p w:rsidR="00AD51F7" w:rsidRPr="003A2263" w:rsidRDefault="003A2263" w:rsidP="003A2263">
      <w:pPr>
        <w:spacing w:before="120" w:line="276" w:lineRule="auto"/>
        <w:outlineLvl w:val="0"/>
        <w:rPr>
          <w:rFonts w:ascii="Times New Roman" w:hAnsi="Times New Roman"/>
          <w:b/>
          <w:sz w:val="24"/>
          <w:szCs w:val="24"/>
        </w:rPr>
      </w:pPr>
      <w:r w:rsidRPr="003A2263">
        <w:rPr>
          <w:rFonts w:ascii="Times New Roman" w:hAnsi="Times New Roman"/>
          <w:b/>
          <w:sz w:val="24"/>
          <w:szCs w:val="24"/>
        </w:rPr>
        <w:t>Reference</w:t>
      </w:r>
      <w:r w:rsidR="004B11F3">
        <w:rPr>
          <w:rFonts w:ascii="Times New Roman" w:hAnsi="Times New Roman"/>
          <w:b/>
          <w:sz w:val="24"/>
          <w:szCs w:val="24"/>
        </w:rPr>
        <w:t>s</w:t>
      </w:r>
      <w:bookmarkStart w:id="0" w:name="_GoBack"/>
      <w:bookmarkEnd w:id="0"/>
    </w:p>
    <w:p w:rsidR="00AD51F7" w:rsidRPr="003A2263" w:rsidRDefault="00AD51F7" w:rsidP="00AD51F7">
      <w:pPr>
        <w:pStyle w:val="EndNoteBibliography"/>
        <w:spacing w:after="0"/>
        <w:ind w:left="720" w:hanging="720"/>
        <w:rPr>
          <w:rFonts w:ascii="Times New Roman" w:hAnsi="Times New Roman" w:cs="Times New Roman"/>
          <w:sz w:val="24"/>
          <w:szCs w:val="24"/>
        </w:rPr>
      </w:pPr>
      <w:r w:rsidRPr="003A2263">
        <w:rPr>
          <w:rFonts w:ascii="Times New Roman" w:hAnsi="Times New Roman" w:cs="Times New Roman"/>
          <w:sz w:val="24"/>
          <w:szCs w:val="24"/>
        </w:rPr>
        <w:fldChar w:fldCharType="begin"/>
      </w:r>
      <w:r w:rsidRPr="003A2263">
        <w:rPr>
          <w:rFonts w:ascii="Times New Roman" w:hAnsi="Times New Roman" w:cs="Times New Roman"/>
          <w:sz w:val="24"/>
          <w:szCs w:val="24"/>
        </w:rPr>
        <w:instrText xml:space="preserve"> ADDIN EN.REFLIST </w:instrText>
      </w:r>
      <w:r w:rsidRPr="003A2263">
        <w:rPr>
          <w:rFonts w:ascii="Times New Roman" w:hAnsi="Times New Roman" w:cs="Times New Roman"/>
          <w:sz w:val="24"/>
          <w:szCs w:val="24"/>
        </w:rPr>
        <w:fldChar w:fldCharType="separate"/>
      </w:r>
      <w:r w:rsidRPr="003A2263">
        <w:rPr>
          <w:rFonts w:ascii="Times New Roman" w:hAnsi="Times New Roman" w:cs="Times New Roman"/>
          <w:sz w:val="24"/>
          <w:szCs w:val="24"/>
        </w:rPr>
        <w:t>1.</w:t>
      </w:r>
      <w:r w:rsidRPr="003A2263">
        <w:rPr>
          <w:rFonts w:ascii="Times New Roman" w:hAnsi="Times New Roman" w:cs="Times New Roman"/>
          <w:sz w:val="24"/>
          <w:szCs w:val="24"/>
        </w:rPr>
        <w:tab/>
        <w:t>Tsukasaki, M.</w:t>
      </w:r>
      <w:r w:rsidRPr="003A2263">
        <w:rPr>
          <w:rFonts w:ascii="Times New Roman" w:hAnsi="Times New Roman" w:cs="Times New Roman"/>
          <w:i/>
          <w:sz w:val="24"/>
          <w:szCs w:val="24"/>
        </w:rPr>
        <w:t>, et al.</w:t>
      </w:r>
      <w:r w:rsidRPr="003A2263">
        <w:rPr>
          <w:rFonts w:ascii="Times New Roman" w:hAnsi="Times New Roman" w:cs="Times New Roman"/>
          <w:sz w:val="24"/>
          <w:szCs w:val="24"/>
        </w:rPr>
        <w:t xml:space="preserve"> Stepwise cell fate decision pathways during osteoclastogenesis at single-cell resolution. </w:t>
      </w:r>
      <w:r w:rsidRPr="003A2263">
        <w:rPr>
          <w:rFonts w:ascii="Times New Roman" w:hAnsi="Times New Roman" w:cs="Times New Roman"/>
          <w:i/>
          <w:sz w:val="24"/>
          <w:szCs w:val="24"/>
        </w:rPr>
        <w:t>Nat Metab</w:t>
      </w:r>
      <w:r w:rsidRPr="003A2263">
        <w:rPr>
          <w:rFonts w:ascii="Times New Roman" w:hAnsi="Times New Roman" w:cs="Times New Roman"/>
          <w:sz w:val="24"/>
          <w:szCs w:val="24"/>
        </w:rPr>
        <w:t xml:space="preserve"> </w:t>
      </w:r>
      <w:r w:rsidRPr="003A2263">
        <w:rPr>
          <w:rFonts w:ascii="Times New Roman" w:hAnsi="Times New Roman" w:cs="Times New Roman"/>
          <w:b/>
          <w:sz w:val="24"/>
          <w:szCs w:val="24"/>
        </w:rPr>
        <w:t>2</w:t>
      </w:r>
      <w:r w:rsidRPr="003A2263">
        <w:rPr>
          <w:rFonts w:ascii="Times New Roman" w:hAnsi="Times New Roman" w:cs="Times New Roman"/>
          <w:sz w:val="24"/>
          <w:szCs w:val="24"/>
        </w:rPr>
        <w:t>, 1382-1390 (2020).</w:t>
      </w:r>
    </w:p>
    <w:p w:rsidR="00AD51F7" w:rsidRPr="003A2263" w:rsidRDefault="00AD51F7" w:rsidP="00AD51F7">
      <w:pPr>
        <w:pStyle w:val="EndNoteBibliography"/>
        <w:spacing w:after="0"/>
        <w:ind w:left="720" w:hanging="720"/>
        <w:rPr>
          <w:rFonts w:ascii="Times New Roman" w:hAnsi="Times New Roman" w:cs="Times New Roman"/>
          <w:sz w:val="24"/>
          <w:szCs w:val="24"/>
        </w:rPr>
      </w:pPr>
      <w:r w:rsidRPr="003A2263">
        <w:rPr>
          <w:rFonts w:ascii="Times New Roman" w:hAnsi="Times New Roman" w:cs="Times New Roman"/>
          <w:sz w:val="24"/>
          <w:szCs w:val="24"/>
        </w:rPr>
        <w:t>2.</w:t>
      </w:r>
      <w:r w:rsidRPr="003A2263">
        <w:rPr>
          <w:rFonts w:ascii="Times New Roman" w:hAnsi="Times New Roman" w:cs="Times New Roman"/>
          <w:sz w:val="24"/>
          <w:szCs w:val="24"/>
        </w:rPr>
        <w:tab/>
        <w:t xml:space="preserve">Yarilina, A., Park-Min, K.H., Antoniv, T., Hu, X. &amp; Ivashkiv, L.B. TNF activates an IRF1-dependent autocrine loop leading to sustained expression of chemokines and STAT1-dependent type I interferon-response genes. </w:t>
      </w:r>
      <w:r w:rsidRPr="003A2263">
        <w:rPr>
          <w:rFonts w:ascii="Times New Roman" w:hAnsi="Times New Roman" w:cs="Times New Roman"/>
          <w:i/>
          <w:sz w:val="24"/>
          <w:szCs w:val="24"/>
        </w:rPr>
        <w:t>Nat Immunol</w:t>
      </w:r>
      <w:r w:rsidRPr="003A2263">
        <w:rPr>
          <w:rFonts w:ascii="Times New Roman" w:hAnsi="Times New Roman" w:cs="Times New Roman"/>
          <w:sz w:val="24"/>
          <w:szCs w:val="24"/>
        </w:rPr>
        <w:t xml:space="preserve"> </w:t>
      </w:r>
      <w:r w:rsidRPr="003A2263">
        <w:rPr>
          <w:rFonts w:ascii="Times New Roman" w:hAnsi="Times New Roman" w:cs="Times New Roman"/>
          <w:b/>
          <w:sz w:val="24"/>
          <w:szCs w:val="24"/>
        </w:rPr>
        <w:t>9</w:t>
      </w:r>
      <w:r w:rsidRPr="003A2263">
        <w:rPr>
          <w:rFonts w:ascii="Times New Roman" w:hAnsi="Times New Roman" w:cs="Times New Roman"/>
          <w:sz w:val="24"/>
          <w:szCs w:val="24"/>
        </w:rPr>
        <w:t>, 378-387 (2008).</w:t>
      </w:r>
    </w:p>
    <w:p w:rsidR="00AD51F7" w:rsidRPr="003A2263" w:rsidRDefault="00AD51F7" w:rsidP="00AD51F7">
      <w:pPr>
        <w:pStyle w:val="EndNoteBibliography"/>
        <w:spacing w:after="0"/>
        <w:ind w:left="720" w:hanging="720"/>
        <w:rPr>
          <w:rFonts w:ascii="Times New Roman" w:hAnsi="Times New Roman" w:cs="Times New Roman"/>
          <w:sz w:val="24"/>
          <w:szCs w:val="24"/>
        </w:rPr>
      </w:pPr>
      <w:r w:rsidRPr="003A2263">
        <w:rPr>
          <w:rFonts w:ascii="Times New Roman" w:hAnsi="Times New Roman" w:cs="Times New Roman"/>
          <w:sz w:val="24"/>
          <w:szCs w:val="24"/>
        </w:rPr>
        <w:t>3.</w:t>
      </w:r>
      <w:r w:rsidRPr="003A2263">
        <w:rPr>
          <w:rFonts w:ascii="Times New Roman" w:hAnsi="Times New Roman" w:cs="Times New Roman"/>
          <w:sz w:val="24"/>
          <w:szCs w:val="24"/>
        </w:rPr>
        <w:tab/>
        <w:t>Bae, S.</w:t>
      </w:r>
      <w:r w:rsidRPr="003A2263">
        <w:rPr>
          <w:rFonts w:ascii="Times New Roman" w:hAnsi="Times New Roman" w:cs="Times New Roman"/>
          <w:i/>
          <w:sz w:val="24"/>
          <w:szCs w:val="24"/>
        </w:rPr>
        <w:t>, et al.</w:t>
      </w:r>
      <w:r w:rsidRPr="003A2263">
        <w:rPr>
          <w:rFonts w:ascii="Times New Roman" w:hAnsi="Times New Roman" w:cs="Times New Roman"/>
          <w:sz w:val="24"/>
          <w:szCs w:val="24"/>
        </w:rPr>
        <w:t xml:space="preserve"> MYC-dependent oxidative metabolism regulates osteoclastogenesis via nuclear receptor ERRalpha. </w:t>
      </w:r>
      <w:r w:rsidRPr="003A2263">
        <w:rPr>
          <w:rFonts w:ascii="Times New Roman" w:hAnsi="Times New Roman" w:cs="Times New Roman"/>
          <w:i/>
          <w:sz w:val="24"/>
          <w:szCs w:val="24"/>
        </w:rPr>
        <w:t>J Clin Invest</w:t>
      </w:r>
      <w:r w:rsidRPr="003A2263">
        <w:rPr>
          <w:rFonts w:ascii="Times New Roman" w:hAnsi="Times New Roman" w:cs="Times New Roman"/>
          <w:sz w:val="24"/>
          <w:szCs w:val="24"/>
        </w:rPr>
        <w:t xml:space="preserve"> </w:t>
      </w:r>
      <w:r w:rsidRPr="003A2263">
        <w:rPr>
          <w:rFonts w:ascii="Times New Roman" w:hAnsi="Times New Roman" w:cs="Times New Roman"/>
          <w:b/>
          <w:sz w:val="24"/>
          <w:szCs w:val="24"/>
        </w:rPr>
        <w:t>127</w:t>
      </w:r>
      <w:r w:rsidRPr="003A2263">
        <w:rPr>
          <w:rFonts w:ascii="Times New Roman" w:hAnsi="Times New Roman" w:cs="Times New Roman"/>
          <w:sz w:val="24"/>
          <w:szCs w:val="24"/>
        </w:rPr>
        <w:t>, 2555-2568 (2017).</w:t>
      </w:r>
    </w:p>
    <w:p w:rsidR="00AD51F7" w:rsidRPr="003A2263" w:rsidRDefault="00AD51F7" w:rsidP="00AD51F7">
      <w:pPr>
        <w:pStyle w:val="EndNoteBibliography"/>
        <w:ind w:left="720" w:hanging="720"/>
        <w:rPr>
          <w:rFonts w:ascii="Times New Roman" w:hAnsi="Times New Roman" w:cs="Times New Roman"/>
          <w:sz w:val="24"/>
          <w:szCs w:val="24"/>
        </w:rPr>
      </w:pPr>
      <w:r w:rsidRPr="003A2263">
        <w:rPr>
          <w:rFonts w:ascii="Times New Roman" w:hAnsi="Times New Roman" w:cs="Times New Roman"/>
          <w:sz w:val="24"/>
          <w:szCs w:val="24"/>
        </w:rPr>
        <w:t>4.</w:t>
      </w:r>
      <w:r w:rsidRPr="003A2263">
        <w:rPr>
          <w:rFonts w:ascii="Times New Roman" w:hAnsi="Times New Roman" w:cs="Times New Roman"/>
          <w:sz w:val="24"/>
          <w:szCs w:val="24"/>
        </w:rPr>
        <w:tab/>
        <w:t>Hofmann, A.E.</w:t>
      </w:r>
      <w:r w:rsidRPr="003A2263">
        <w:rPr>
          <w:rFonts w:ascii="Times New Roman" w:hAnsi="Times New Roman" w:cs="Times New Roman"/>
          <w:i/>
          <w:sz w:val="24"/>
          <w:szCs w:val="24"/>
        </w:rPr>
        <w:t>, et al.</w:t>
      </w:r>
      <w:r w:rsidRPr="003A2263">
        <w:rPr>
          <w:rFonts w:ascii="Times New Roman" w:hAnsi="Times New Roman" w:cs="Times New Roman"/>
          <w:sz w:val="24"/>
          <w:szCs w:val="24"/>
        </w:rPr>
        <w:t xml:space="preserve"> Using Orbitrap mass spectrometry to assess the isotopic compositions of individual compounds in mixtures. </w:t>
      </w:r>
      <w:r w:rsidRPr="003A2263">
        <w:rPr>
          <w:rFonts w:ascii="Times New Roman" w:hAnsi="Times New Roman" w:cs="Times New Roman"/>
          <w:i/>
          <w:sz w:val="24"/>
          <w:szCs w:val="24"/>
        </w:rPr>
        <w:t>International Journal of Mass Spectrometry</w:t>
      </w:r>
      <w:r w:rsidRPr="003A2263">
        <w:rPr>
          <w:rFonts w:ascii="Times New Roman" w:hAnsi="Times New Roman" w:cs="Times New Roman"/>
          <w:sz w:val="24"/>
          <w:szCs w:val="24"/>
        </w:rPr>
        <w:t xml:space="preserve"> </w:t>
      </w:r>
      <w:r w:rsidRPr="003A2263">
        <w:rPr>
          <w:rFonts w:ascii="Times New Roman" w:hAnsi="Times New Roman" w:cs="Times New Roman"/>
          <w:b/>
          <w:sz w:val="24"/>
          <w:szCs w:val="24"/>
        </w:rPr>
        <w:t>457</w:t>
      </w:r>
      <w:r w:rsidRPr="003A2263">
        <w:rPr>
          <w:rFonts w:ascii="Times New Roman" w:hAnsi="Times New Roman" w:cs="Times New Roman"/>
          <w:sz w:val="24"/>
          <w:szCs w:val="24"/>
        </w:rPr>
        <w:t>, 116410 (2020).</w:t>
      </w:r>
    </w:p>
    <w:p w:rsidR="00321B10" w:rsidRPr="00D003AC" w:rsidRDefault="00AD51F7" w:rsidP="00550CEF">
      <w:pPr>
        <w:spacing w:before="120" w:line="276" w:lineRule="auto"/>
        <w:rPr>
          <w:rFonts w:ascii="Times New Roman" w:hAnsi="Times New Roman"/>
          <w:sz w:val="24"/>
          <w:szCs w:val="24"/>
        </w:rPr>
      </w:pPr>
      <w:r w:rsidRPr="003A2263">
        <w:rPr>
          <w:rFonts w:ascii="Times New Roman" w:hAnsi="Times New Roman" w:cs="Times New Roman"/>
          <w:sz w:val="24"/>
          <w:szCs w:val="24"/>
        </w:rPr>
        <w:fldChar w:fldCharType="end"/>
      </w:r>
    </w:p>
    <w:sectPr w:rsidR="00321B10" w:rsidRPr="00D003AC" w:rsidSect="00D003AC">
      <w:pgSz w:w="11906" w:h="16838"/>
      <w:pgMar w:top="1417" w:right="1417" w:bottom="1134" w:left="1417"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Layout" w:val="&lt;ENLayout&gt;&lt;Style&gt;Nature Medicine&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rfdswvr6pdxsaefrprp2r5ffr0zz9dzevxd&quot;&gt;OGlcNAc ms-Converted&lt;record-ids&gt;&lt;item&gt;8&lt;/item&gt;&lt;item&gt;80&lt;/item&gt;&lt;item&gt;209&lt;/item&gt;&lt;item&gt;237&lt;/item&gt;&lt;/record-ids&gt;&lt;/item&gt;&lt;/Libraries&gt;"/>
  </w:docVars>
  <w:rsids>
    <w:rsidRoot w:val="00E31C60"/>
    <w:rsid w:val="000762B0"/>
    <w:rsid w:val="00321B10"/>
    <w:rsid w:val="003A2263"/>
    <w:rsid w:val="004B11F3"/>
    <w:rsid w:val="00550CEF"/>
    <w:rsid w:val="00AD51F7"/>
    <w:rsid w:val="00C97F45"/>
    <w:rsid w:val="00D003AC"/>
    <w:rsid w:val="00E31C60"/>
    <w:rsid w:val="00FE278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AEA32"/>
  <w15:chartTrackingRefBased/>
  <w15:docId w15:val="{743E9660-B813-4DC9-9821-1C568EDBD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31C60"/>
    <w:pPr>
      <w:widowControl w:val="0"/>
      <w:wordWrap w:val="0"/>
      <w:autoSpaceDE w:val="0"/>
      <w:autoSpaceDN w:val="0"/>
      <w:spacing w:line="256" w:lineRule="auto"/>
      <w:jc w:val="both"/>
    </w:pPr>
    <w:rPr>
      <w:rFonts w:eastAsiaTheme="minorEastAsia"/>
      <w:kern w:val="2"/>
      <w:sz w:val="20"/>
      <w:lang w:val="en-US" w:eastAsia="ko-KR"/>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sid w:val="00E31C60"/>
    <w:rPr>
      <w:color w:val="0000FF"/>
      <w:u w:val="single"/>
    </w:rPr>
  </w:style>
  <w:style w:type="character" w:styleId="Zeilennummer">
    <w:name w:val="line number"/>
    <w:basedOn w:val="Absatz-Standardschriftart"/>
    <w:uiPriority w:val="99"/>
    <w:semiHidden/>
    <w:unhideWhenUsed/>
    <w:rsid w:val="00D003AC"/>
  </w:style>
  <w:style w:type="table" w:customStyle="1" w:styleId="EinfacheTabelle31">
    <w:name w:val="Einfache Tabelle 31"/>
    <w:basedOn w:val="NormaleTabelle"/>
    <w:uiPriority w:val="43"/>
    <w:rsid w:val="00550CE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EndNoteBibliographyTitle">
    <w:name w:val="EndNote Bibliography Title"/>
    <w:basedOn w:val="Standard"/>
    <w:link w:val="EndNoteBibliographyTitleZchn"/>
    <w:rsid w:val="00AD51F7"/>
    <w:pPr>
      <w:spacing w:after="0"/>
      <w:jc w:val="center"/>
    </w:pPr>
    <w:rPr>
      <w:rFonts w:ascii="Calibri" w:hAnsi="Calibri" w:cs="Calibri"/>
      <w:noProof/>
    </w:rPr>
  </w:style>
  <w:style w:type="character" w:customStyle="1" w:styleId="EndNoteBibliographyTitleZchn">
    <w:name w:val="EndNote Bibliography Title Zchn"/>
    <w:basedOn w:val="Absatz-Standardschriftart"/>
    <w:link w:val="EndNoteBibliographyTitle"/>
    <w:rsid w:val="00AD51F7"/>
    <w:rPr>
      <w:rFonts w:ascii="Calibri" w:eastAsiaTheme="minorEastAsia" w:hAnsi="Calibri" w:cs="Calibri"/>
      <w:noProof/>
      <w:kern w:val="2"/>
      <w:sz w:val="20"/>
      <w:lang w:val="en-US" w:eastAsia="ko-KR"/>
    </w:rPr>
  </w:style>
  <w:style w:type="paragraph" w:customStyle="1" w:styleId="EndNoteBibliography">
    <w:name w:val="EndNote Bibliography"/>
    <w:basedOn w:val="Standard"/>
    <w:link w:val="EndNoteBibliographyZchn"/>
    <w:rsid w:val="00AD51F7"/>
    <w:pPr>
      <w:spacing w:line="240" w:lineRule="auto"/>
    </w:pPr>
    <w:rPr>
      <w:rFonts w:ascii="Calibri" w:hAnsi="Calibri" w:cs="Calibri"/>
      <w:noProof/>
    </w:rPr>
  </w:style>
  <w:style w:type="character" w:customStyle="1" w:styleId="EndNoteBibliographyZchn">
    <w:name w:val="EndNote Bibliography Zchn"/>
    <w:basedOn w:val="Absatz-Standardschriftart"/>
    <w:link w:val="EndNoteBibliography"/>
    <w:rsid w:val="00AD51F7"/>
    <w:rPr>
      <w:rFonts w:ascii="Calibri" w:eastAsiaTheme="minorEastAsia" w:hAnsi="Calibri" w:cs="Calibri"/>
      <w:noProof/>
      <w:kern w:val="2"/>
      <w:sz w:val="20"/>
      <w:lang w:val="en-US"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254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3.0/" TargetMode="External"/><Relationship Id="rId13" Type="http://schemas.openxmlformats.org/officeDocument/2006/relationships/image" Target="media/image8.png"/><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mart.servier.com/" TargetMode="External"/><Relationship Id="rId12" Type="http://schemas.openxmlformats.org/officeDocument/2006/relationships/image" Target="media/image7.png"/><Relationship Id="rId17" Type="http://schemas.openxmlformats.org/officeDocument/2006/relationships/image" Target="media/image11.png"/><Relationship Id="rId2" Type="http://schemas.openxmlformats.org/officeDocument/2006/relationships/settings" Target="settings.xml"/><Relationship Id="rId16" Type="http://schemas.openxmlformats.org/officeDocument/2006/relationships/hyperlink" Target="https://creativecommons.org/licenses/by/4.0/" TargetMode="Externa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6.png"/><Relationship Id="rId5" Type="http://schemas.openxmlformats.org/officeDocument/2006/relationships/image" Target="media/image2.png"/><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1724</Words>
  <Characters>9830</Characters>
  <Application>Microsoft Office Word</Application>
  <DocSecurity>0</DocSecurity>
  <Lines>81</Lines>
  <Paragraphs>23</Paragraphs>
  <ScaleCrop>false</ScaleCrop>
  <HeadingPairs>
    <vt:vector size="4" baseType="variant">
      <vt:variant>
        <vt:lpstr>Titel</vt:lpstr>
      </vt:variant>
      <vt:variant>
        <vt:i4>1</vt:i4>
      </vt:variant>
      <vt:variant>
        <vt:lpstr>Überschriften</vt:lpstr>
      </vt:variant>
      <vt:variant>
        <vt:i4>16</vt:i4>
      </vt:variant>
    </vt:vector>
  </HeadingPairs>
  <TitlesOfParts>
    <vt:vector size="17" baseType="lpstr">
      <vt:lpstr/>
      <vt:lpstr>Dynamic changes in O-GlcNAcylation regulate osteoclast differentiation and bone </vt:lpstr>
      <vt:lpstr>Supplementary table</vt:lpstr>
      <vt:lpstr>    Supplementary Table 1. Primer pairs used to determine mRNA levels by qPCR</vt:lpstr>
      <vt:lpstr>Supplementary figures</vt:lpstr>
      <vt:lpstr>    Supplementary Fig. 1 Cellomics analysis of O-GlcNAcylation levels in osteoclasts</vt:lpstr>
      <vt:lpstr>    Supplementary Fig. 2 Knockout of OGT knockout inhibits osteoclastogenesis.</vt:lpstr>
      <vt:lpstr>    Supplementary Fig. 3 Early-stage inhibition of OGT, but not OGA, suppresses oste</vt:lpstr>
      <vt:lpstr>    Supplementary Fig. 4 Knockout of OGT ameliorates bone loss in human TNFα transge</vt:lpstr>
      <vt:lpstr>    Supplementary Fig. 5 Knockout of OGT mitigates bone loss in ovariectomy-induced </vt:lpstr>
      <vt:lpstr>    Supplementary Fig. 6 Pharmacological inhibition of OGA ameliorates bone loss in </vt:lpstr>
      <vt:lpstr>    Supplementary Fig. 7 OGT and OGA inhibition arrest cells at different differenti</vt:lpstr>
      <vt:lpstr>    Supplementary Fig. 8 Differential transcriptional changes of OSMI-1 and Thiamet-</vt:lpstr>
      <vt:lpstr>    Supplementary Fig. 9 Bioinformatic analyses of IPA predicted transcription regul</vt:lpstr>
      <vt:lpstr>    Supplementary Fig. 10 Schematic workflow for O-GlcNAc target screening.</vt:lpstr>
      <vt:lpstr>    Supplementary Fig. 11 Nup153 knockdown inhibits MYC nuclear co-localization and </vt:lpstr>
      <vt:lpstr>Reference</vt:lpstr>
    </vt:vector>
  </TitlesOfParts>
  <Company>Universitätsklinikum Erlangen</Company>
  <LinksUpToDate>false</LinksUpToDate>
  <CharactersWithSpaces>11531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Yi-Nan</dc:creator>
  <cp:keywords/>
  <dc:description/>
  <cp:lastModifiedBy>Li, Yi-Nan</cp:lastModifiedBy>
  <cp:revision>4</cp:revision>
  <dcterms:created xsi:type="dcterms:W3CDTF">2022-06-15T12:44:00Z</dcterms:created>
  <dcterms:modified xsi:type="dcterms:W3CDTF">2022-06-15T12:47:00Z</dcterms:modified>
</cp:coreProperties>
</file>